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824"/>
        <w:gridCol w:w="5536"/>
      </w:tblGrid>
      <w:tr w:rsidR="0076695A" w:rsidRPr="0076695A" w:rsidTr="0076695A">
        <w:tc>
          <w:tcPr>
            <w:tcW w:w="2043" w:type="pct"/>
            <w:hideMark/>
          </w:tcPr>
          <w:p w:rsidR="0076695A" w:rsidRPr="0076695A" w:rsidRDefault="0076695A" w:rsidP="0076695A">
            <w:pPr>
              <w:spacing w:before="100" w:beforeAutospacing="1" w:after="100" w:afterAutospacing="1" w:line="240" w:lineRule="auto"/>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CHÍNH PHỦ</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vertAlign w:val="superscript"/>
              </w:rPr>
              <w:t>_______</w:t>
            </w:r>
            <w:r w:rsidRPr="0076695A">
              <w:rPr>
                <w:rFonts w:ascii="Times New Roman" w:eastAsia="Times New Roman" w:hAnsi="Times New Roman" w:cs="Times New Roman"/>
                <w:sz w:val="24"/>
                <w:szCs w:val="24"/>
                <w:vertAlign w:val="superscript"/>
              </w:rPr>
              <w:br/>
            </w:r>
            <w:r w:rsidRPr="0076695A">
              <w:rPr>
                <w:rFonts w:ascii="Times New Roman" w:eastAsia="Times New Roman" w:hAnsi="Times New Roman" w:cs="Times New Roman"/>
                <w:sz w:val="24"/>
                <w:szCs w:val="24"/>
              </w:rPr>
              <w:br/>
              <w:t>Số: 51/2026/NĐ-CP</w:t>
            </w:r>
          </w:p>
        </w:tc>
        <w:tc>
          <w:tcPr>
            <w:tcW w:w="2957" w:type="pct"/>
            <w:hideMark/>
          </w:tcPr>
          <w:p w:rsidR="0076695A" w:rsidRPr="0076695A" w:rsidRDefault="0076695A" w:rsidP="0076695A">
            <w:pPr>
              <w:spacing w:before="100" w:beforeAutospacing="1" w:after="100" w:afterAutospacing="1" w:line="240" w:lineRule="auto"/>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CỘNG HÒA XÃ HỘI CHỦ NGHĨA VIỆT NAM</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b/>
                <w:bCs/>
                <w:sz w:val="24"/>
                <w:szCs w:val="24"/>
              </w:rPr>
              <w:t>Độc lập – Tự do – Hạnh phúc</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vertAlign w:val="superscript"/>
              </w:rPr>
              <w:t>_________________</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i/>
                <w:iCs/>
                <w:sz w:val="24"/>
                <w:szCs w:val="24"/>
              </w:rPr>
              <w:t>Hà Nội, ngày 02 tháng 02 năm 2026</w:t>
            </w:r>
          </w:p>
        </w:tc>
      </w:tr>
    </w:tbl>
    <w:p w:rsidR="0076695A" w:rsidRPr="0076695A" w:rsidRDefault="0076695A" w:rsidP="0076695A">
      <w:pPr>
        <w:spacing w:before="100" w:beforeAutospacing="1" w:after="100" w:afterAutospacing="1" w:line="240" w:lineRule="auto"/>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NGHỊ ĐỊNH</w:t>
      </w:r>
    </w:p>
    <w:p w:rsidR="0076695A" w:rsidRPr="0076695A" w:rsidRDefault="0076695A" w:rsidP="0076695A">
      <w:pPr>
        <w:spacing w:before="100" w:beforeAutospacing="1" w:after="100" w:afterAutospacing="1" w:line="240" w:lineRule="auto"/>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Sửa đổi, bổ sung một số điều của Nghị định số 143/2013/NĐ</w:t>
      </w:r>
      <w:r w:rsidRPr="0076695A">
        <w:rPr>
          <w:rFonts w:ascii="Times New Roman" w:eastAsia="Times New Roman" w:hAnsi="Times New Roman" w:cs="Times New Roman"/>
          <w:i/>
          <w:iCs/>
          <w:sz w:val="24"/>
          <w:szCs w:val="24"/>
        </w:rPr>
        <w:t>-</w:t>
      </w:r>
      <w:r w:rsidRPr="0076695A">
        <w:rPr>
          <w:rFonts w:ascii="Times New Roman" w:eastAsia="Times New Roman" w:hAnsi="Times New Roman" w:cs="Times New Roman"/>
          <w:b/>
          <w:bCs/>
          <w:sz w:val="24"/>
          <w:szCs w:val="24"/>
        </w:rPr>
        <w:t>CP</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b/>
          <w:bCs/>
          <w:sz w:val="24"/>
          <w:szCs w:val="24"/>
        </w:rPr>
        <w:t>ngày 24 tháng 10 năm 2013 của Chính phủ quy định về</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b/>
          <w:bCs/>
          <w:sz w:val="24"/>
          <w:szCs w:val="24"/>
        </w:rPr>
        <w:t>bồi hoàn học bổng và chi phí đào tạo</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i/>
          <w:iCs/>
          <w:sz w:val="24"/>
          <w:szCs w:val="24"/>
        </w:rPr>
        <w:t xml:space="preserve">Căn cứ Luật Tổ chức Chính phủ số </w:t>
      </w:r>
      <w:hyperlink r:id="rId4" w:tgtFrame="_blank" w:tooltip="63/2025/QH15" w:history="1">
        <w:r w:rsidRPr="0076695A">
          <w:rPr>
            <w:rFonts w:ascii="Times New Roman" w:eastAsia="Times New Roman" w:hAnsi="Times New Roman" w:cs="Times New Roman"/>
            <w:i/>
            <w:iCs/>
            <w:color w:val="0000FF"/>
            <w:sz w:val="24"/>
            <w:szCs w:val="24"/>
            <w:u w:val="single"/>
          </w:rPr>
          <w:t>63/2025/QH15</w:t>
        </w:r>
      </w:hyperlink>
      <w:r w:rsidRPr="0076695A">
        <w:rPr>
          <w:rFonts w:ascii="Times New Roman" w:eastAsia="Times New Roman" w:hAnsi="Times New Roman" w:cs="Times New Roman"/>
          <w:i/>
          <w:iCs/>
          <w:sz w:val="24"/>
          <w:szCs w:val="24"/>
        </w:rPr>
        <w:t>;</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i/>
          <w:iCs/>
          <w:sz w:val="24"/>
          <w:szCs w:val="24"/>
        </w:rPr>
        <w:t xml:space="preserve">Căn cứ Luật Ban hành văn bản quy phạm pháp luật số </w:t>
      </w:r>
      <w:hyperlink r:id="rId5" w:tgtFrame="_blank" w:tooltip="64/2025/QH15" w:history="1">
        <w:r w:rsidRPr="0076695A">
          <w:rPr>
            <w:rFonts w:ascii="Times New Roman" w:eastAsia="Times New Roman" w:hAnsi="Times New Roman" w:cs="Times New Roman"/>
            <w:i/>
            <w:iCs/>
            <w:color w:val="0000FF"/>
            <w:sz w:val="24"/>
            <w:szCs w:val="24"/>
            <w:u w:val="single"/>
          </w:rPr>
          <w:t>64/2025/QH15</w:t>
        </w:r>
      </w:hyperlink>
      <w:r w:rsidRPr="0076695A">
        <w:rPr>
          <w:rFonts w:ascii="Times New Roman" w:eastAsia="Times New Roman" w:hAnsi="Times New Roman" w:cs="Times New Roman"/>
          <w:i/>
          <w:iCs/>
          <w:sz w:val="24"/>
          <w:szCs w:val="24"/>
        </w:rPr>
        <w:t xml:space="preserve"> được sửa đổi, bổ sung bởi Luật số </w:t>
      </w:r>
      <w:hyperlink r:id="rId6" w:tgtFrame="_blank" w:tooltip="87/2025/QH15" w:history="1">
        <w:r w:rsidRPr="0076695A">
          <w:rPr>
            <w:rFonts w:ascii="Times New Roman" w:eastAsia="Times New Roman" w:hAnsi="Times New Roman" w:cs="Times New Roman"/>
            <w:i/>
            <w:iCs/>
            <w:color w:val="0000FF"/>
            <w:sz w:val="24"/>
            <w:szCs w:val="24"/>
            <w:u w:val="single"/>
          </w:rPr>
          <w:t>87/2025/QH15</w:t>
        </w:r>
      </w:hyperlink>
      <w:r w:rsidRPr="0076695A">
        <w:rPr>
          <w:rFonts w:ascii="Times New Roman" w:eastAsia="Times New Roman" w:hAnsi="Times New Roman" w:cs="Times New Roman"/>
          <w:i/>
          <w:iCs/>
          <w:sz w:val="24"/>
          <w:szCs w:val="24"/>
        </w:rPr>
        <w:t>;</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i/>
          <w:iCs/>
          <w:sz w:val="24"/>
          <w:szCs w:val="24"/>
        </w:rPr>
        <w:t>Theo đề nghị của Bộ trưởng Bộ Giáo dục và Đào tạo;</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i/>
          <w:iCs/>
          <w:sz w:val="24"/>
          <w:szCs w:val="24"/>
        </w:rPr>
        <w:t xml:space="preserve">Chính phủ ban hành Nghị định sửa đổi, bổ sung một số điều của Nghị định số </w:t>
      </w:r>
      <w:hyperlink r:id="rId7" w:tgtFrame="_blank" w:tooltip="143/2013/NĐ-CP" w:history="1">
        <w:r w:rsidRPr="0076695A">
          <w:rPr>
            <w:rFonts w:ascii="Times New Roman" w:eastAsia="Times New Roman" w:hAnsi="Times New Roman" w:cs="Times New Roman"/>
            <w:i/>
            <w:iCs/>
            <w:color w:val="0000FF"/>
            <w:sz w:val="24"/>
            <w:szCs w:val="24"/>
            <w:u w:val="single"/>
          </w:rPr>
          <w:t>143/2013/NĐ-CP</w:t>
        </w:r>
      </w:hyperlink>
      <w:r w:rsidRPr="0076695A">
        <w:rPr>
          <w:rFonts w:ascii="Times New Roman" w:eastAsia="Times New Roman" w:hAnsi="Times New Roman" w:cs="Times New Roman"/>
          <w:i/>
          <w:iCs/>
          <w:sz w:val="24"/>
          <w:szCs w:val="24"/>
        </w:rPr>
        <w:t xml:space="preserve"> ngày 24 tháng 10 năm 2013 của Chính phủ quy định về bồi hoàn học bổng và chi phí đào tạo.</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Điều 1. Sửa đổi, bổ sung điểm b khoản 2 Điều 1</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“b) Người học được tham gia chương trình đào tạo ở trong nước bằng nguồn ngân sách nhà nước hoặc theo các Đề án đặt hàng đào tạo do Thủ tướng Chính phủ phê duyệt có sử dụng nguồn ngân sách nhà nước;</w:t>
      </w:r>
      <w:proofErr w:type="gramStart"/>
      <w:r w:rsidRPr="0076695A">
        <w:rPr>
          <w:rFonts w:ascii="Times New Roman" w:eastAsia="Times New Roman" w:hAnsi="Times New Roman" w:cs="Times New Roman"/>
          <w:sz w:val="24"/>
          <w:szCs w:val="24"/>
        </w:rPr>
        <w:t>”.</w:t>
      </w:r>
      <w:proofErr w:type="gramEnd"/>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Điều 2. Sửa đổi, bổ sung khoản 1 Điều 7</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“1. Chậm nhất trong thời hạn 120 (một trăm hai mươi) ngày, kể từ ngày nhận được quyết định của cơ quan nhà nước có thẩm quyền, người học hoặc gia đình người học ở Việt Nam có trách nhiệm nộp trả đầy đủ khoản tiền phải bồi hoàn.”.</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 xml:space="preserve">Điều 3. Bổ sung Điều 7a vào sau Điều 7 </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“Điều 7a. Xóa hoặc miễn chi phí bồi hoàn</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1. Trường hợp người học được xóa hoặc miễn chi phí bồi hoàn:</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a) Xóa chi phí bồi hoàn trong trường hợp người học đã chết hoặc bị Tòa án tuyên bố là đã chết </w:t>
      </w:r>
      <w:proofErr w:type="gramStart"/>
      <w:r w:rsidRPr="0076695A">
        <w:rPr>
          <w:rFonts w:ascii="Times New Roman" w:eastAsia="Times New Roman" w:hAnsi="Times New Roman" w:cs="Times New Roman"/>
          <w:sz w:val="24"/>
          <w:szCs w:val="24"/>
        </w:rPr>
        <w:t>theo</w:t>
      </w:r>
      <w:proofErr w:type="gramEnd"/>
      <w:r w:rsidRPr="0076695A">
        <w:rPr>
          <w:rFonts w:ascii="Times New Roman" w:eastAsia="Times New Roman" w:hAnsi="Times New Roman" w:cs="Times New Roman"/>
          <w:sz w:val="24"/>
          <w:szCs w:val="24"/>
        </w:rPr>
        <w:t xml:space="preserve"> quy định của pháp luật;</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b) Miễn chi phí bồi hoàn một trong các trường hợp sau:</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Người học được cơ sở y tế có thẩm quyền xác nhận không đủ sức khỏe để làm việc;</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Người học chấp hành nghĩa vụ làm việc chưa đủ thời gian </w:t>
      </w:r>
      <w:proofErr w:type="gramStart"/>
      <w:r w:rsidRPr="0076695A">
        <w:rPr>
          <w:rFonts w:ascii="Times New Roman" w:eastAsia="Times New Roman" w:hAnsi="Times New Roman" w:cs="Times New Roman"/>
          <w:sz w:val="24"/>
          <w:szCs w:val="24"/>
        </w:rPr>
        <w:t>theo</w:t>
      </w:r>
      <w:proofErr w:type="gramEnd"/>
      <w:r w:rsidRPr="0076695A">
        <w:rPr>
          <w:rFonts w:ascii="Times New Roman" w:eastAsia="Times New Roman" w:hAnsi="Times New Roman" w:cs="Times New Roman"/>
          <w:sz w:val="24"/>
          <w:szCs w:val="24"/>
        </w:rPr>
        <w:t xml:space="preserve"> quy định nhưng sau đó được cơ quan có thẩm quyền quyết định điều động, luân chuyển, biệt phái hoặc chuyển công tác đến vị trí khác;</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Người học do nguyên nhân khách quan, bất khả kháng nên không thể chấp hành sự điều động làm việc của cơ quan nhà nước có thẩm quyền. Cơ quan nhà nước có thẩm quyền quyết định việc bồi hoàn xem xét, quyết định việc miễn chi phí bồi hoàn đối với trường hợp này.</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2. Thẩm quyền, thủ tục xóa hoặc miễn chi phí bồi hoàn:</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a) Cơ quan nhà nước hoặc thủ trưởng cơ quan quản lý người </w:t>
      </w:r>
      <w:proofErr w:type="gramStart"/>
      <w:r w:rsidRPr="0076695A">
        <w:rPr>
          <w:rFonts w:ascii="Times New Roman" w:eastAsia="Times New Roman" w:hAnsi="Times New Roman" w:cs="Times New Roman"/>
          <w:sz w:val="24"/>
          <w:szCs w:val="24"/>
        </w:rPr>
        <w:t>lao</w:t>
      </w:r>
      <w:proofErr w:type="gramEnd"/>
      <w:r w:rsidRPr="0076695A">
        <w:rPr>
          <w:rFonts w:ascii="Times New Roman" w:eastAsia="Times New Roman" w:hAnsi="Times New Roman" w:cs="Times New Roman"/>
          <w:sz w:val="24"/>
          <w:szCs w:val="24"/>
        </w:rPr>
        <w:t xml:space="preserve"> động có thẩm quyền quyết định việc bồi hoàn theo quy định tại Điều 6 Nghị định số 143/2013/NĐ-CP có thẩm quyền xem xét, quyết định việc xóa hoặc miễn chi phí bồi hoàn (sau đây gọi là cơ quan có thẩm quyền);</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b) Hồ sơ gồm:</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lastRenderedPageBreak/>
        <w:t>Đơn đề nghị xóa hoặc miễn chi phí bồi hoàn (</w:t>
      </w:r>
      <w:proofErr w:type="gramStart"/>
      <w:r w:rsidRPr="0076695A">
        <w:rPr>
          <w:rFonts w:ascii="Times New Roman" w:eastAsia="Times New Roman" w:hAnsi="Times New Roman" w:cs="Times New Roman"/>
          <w:sz w:val="24"/>
          <w:szCs w:val="24"/>
        </w:rPr>
        <w:t>theo</w:t>
      </w:r>
      <w:proofErr w:type="gramEnd"/>
      <w:r w:rsidRPr="0076695A">
        <w:rPr>
          <w:rFonts w:ascii="Times New Roman" w:eastAsia="Times New Roman" w:hAnsi="Times New Roman" w:cs="Times New Roman"/>
          <w:sz w:val="24"/>
          <w:szCs w:val="24"/>
        </w:rPr>
        <w:t xml:space="preserve"> Mẫu số 01 Phụ lục ban hành kèm theo Nghị định này);</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Bản sao một trong các loại giấy tờ chứng minh thuộc trường hợp được xóa hoặc miễn chi phí bồi hoàn theo quy định tại khoản 1 Điều này: giấy chứng tử hoặc giấy khai tử hoặc trích lục khai tử của cơ quan nhà nước có thẩm quyền hoặc quyết định của Tòa án tuyên bố người học là đã chết; giấy xác nhận của cơ sở y tế có thẩm quyền trong nước hoặc nước ngoài về việc người học không đủ sức khỏe để làm việc (trường hợp giấy xác nhận bằng tiếng nước ngoài thì phải được dịch ra tiếng Việt); quyết định điều động, luân chuyển, biệt phái hoặc chuyển công tác của cơ quan có thẩm quyền; văn bản của cơ quan nhà nước có thẩm quyền xác nhận lý do khách quan, bất khả kháng khiến người học không thể chấp hành điều động làm việc.</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Trường hợp cơ quan có thẩm quyền khai thác được các thông tin trên từ Cơ sở dữ liệu chuyên ngành hoặc từ cơ quan nhà nước thì người học hoặc gia đình người học không cần phải cung cấp các văn bản trên và chỉ cần cung cấp thông tin để có cơ sở đối chiếu, khai thác dữ liệu;</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c) Trình tự thực hiện:</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Cơ quan có thẩm quyền quyết định việc bồi hoàn thông báo cho người học hoặc gia đình người học về việc người học phải thực hiện nghĩa vụ bồi hoàn. Nếu thuộc trường hợp được xóa hoặc miễn chi phí bồi hoàn theo quy định tại khoản 1 Điều này thì người học hoặc gia đình người học nộp 01 bộ hồ sơ theo quy định tại điểm b khoản này qua đường bưu điện hoặc trực tiếp hoặc trực tuyến cho cơ quan có thẩm quyền theo quy định tại điểm a khoản này trong thời hạn 20 ngày làm việc, kể từ ngày ra thông báo.</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Trong thời hạn 03 ngày làm việc, kể từ ngày nhận được hồ sơ đề nghị xóa hoặc miễn chi phí bồi hoàn, nếu hồ sơ không hợp lệ, cơ quan có thẩm quyền thông báo cho người học hoặc gia đình người học bổ sung và hoàn thiện </w:t>
      </w:r>
      <w:proofErr w:type="gramStart"/>
      <w:r w:rsidRPr="0076695A">
        <w:rPr>
          <w:rFonts w:ascii="Times New Roman" w:eastAsia="Times New Roman" w:hAnsi="Times New Roman" w:cs="Times New Roman"/>
          <w:sz w:val="24"/>
          <w:szCs w:val="24"/>
        </w:rPr>
        <w:t>theo</w:t>
      </w:r>
      <w:proofErr w:type="gramEnd"/>
      <w:r w:rsidRPr="0076695A">
        <w:rPr>
          <w:rFonts w:ascii="Times New Roman" w:eastAsia="Times New Roman" w:hAnsi="Times New Roman" w:cs="Times New Roman"/>
          <w:sz w:val="24"/>
          <w:szCs w:val="24"/>
        </w:rPr>
        <w:t xml:space="preserve"> quy định.</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Trong thời hạn 20 ngày làm việc, kể từ ngày nhận đủ hồ sơ hợp lệ, cơ quan có thẩm quyền theo quy định tại điểm a khoản này xem xét, ra quyết định xóa hoặc miễn chi phí bồi hoàn cho người học; trường hợp không đủ điều kiện xóa hoặc miễn chi phí bồi hoàn thì ra quyết định bồi hoàn chi phí đào tạo. Quyết định xóa hoặc miễn chi phí bồi hoàn, quyết định bồi hoàn chi phí đào tạo (theo Mẫu số 02 Phụ lục ban hành kèm theo Nghị định này) được gửi cho người học hoặc gia đình người học và đăng tải công khai trên trang thông tin điện tử của cơ quan nhà nước có thẩm quyền quyết định việc bồi hoàn chi phí đào tạo;</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d) Hết thời hạn 20 ngày làm việc, kể từ ngày ra thông báo, nếu không nhận được tài liệu, minh chứng của người học hoặc gia đình người học thì cơ quan có thẩm quyền ra quyết định bồi hoàn chi phí đào tạo đối với người học. Việc trả và </w:t>
      </w:r>
      <w:proofErr w:type="gramStart"/>
      <w:r w:rsidRPr="0076695A">
        <w:rPr>
          <w:rFonts w:ascii="Times New Roman" w:eastAsia="Times New Roman" w:hAnsi="Times New Roman" w:cs="Times New Roman"/>
          <w:sz w:val="24"/>
          <w:szCs w:val="24"/>
        </w:rPr>
        <w:t>thu</w:t>
      </w:r>
      <w:proofErr w:type="gramEnd"/>
      <w:r w:rsidRPr="0076695A">
        <w:rPr>
          <w:rFonts w:ascii="Times New Roman" w:eastAsia="Times New Roman" w:hAnsi="Times New Roman" w:cs="Times New Roman"/>
          <w:sz w:val="24"/>
          <w:szCs w:val="24"/>
        </w:rPr>
        <w:t xml:space="preserve"> hồi chi phí bồi hoàn thực hiện theo quy định tại Điều 7 Nghị định số 143/2013/NĐ-CP.”.</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Điều 4. Điều khoản thi hành</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1. Nghị định này có hiệu lực thi hành từ ngày 26 tháng 3 năm 2026.</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2. Bộ trưởng, Thủ trưởng cơ quan ngang bộ, Thủ trưởng cơ quan thuộc Chính phủ, Chủ tịch Ủy ban nhân dân tỉnh, thành phố và các cơ quan, tổ chức, cá nhân có liên quan chịu trách nhiệm thi hành Nghị định này.</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Điều 5. Điều khoản chuyển tiếp</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1. Người học phải bồi hoàn chi phí đào tạo </w:t>
      </w:r>
      <w:proofErr w:type="gramStart"/>
      <w:r w:rsidRPr="0076695A">
        <w:rPr>
          <w:rFonts w:ascii="Times New Roman" w:eastAsia="Times New Roman" w:hAnsi="Times New Roman" w:cs="Times New Roman"/>
          <w:sz w:val="24"/>
          <w:szCs w:val="24"/>
        </w:rPr>
        <w:t>theo</w:t>
      </w:r>
      <w:proofErr w:type="gramEnd"/>
      <w:r w:rsidRPr="0076695A">
        <w:rPr>
          <w:rFonts w:ascii="Times New Roman" w:eastAsia="Times New Roman" w:hAnsi="Times New Roman" w:cs="Times New Roman"/>
          <w:sz w:val="24"/>
          <w:szCs w:val="24"/>
        </w:rPr>
        <w:t xml:space="preserve"> quyết định của cơ quan nhà nước có thẩm quyền trước ngày Nghị định này có hiệu lực thi hành thì tiếp tục thực hiện theo quy định tại Nghị định số </w:t>
      </w:r>
      <w:hyperlink r:id="rId8" w:tgtFrame="_blank" w:tooltip="143/2013/NĐ-CP" w:history="1">
        <w:r w:rsidRPr="0076695A">
          <w:rPr>
            <w:rFonts w:ascii="Times New Roman" w:eastAsia="Times New Roman" w:hAnsi="Times New Roman" w:cs="Times New Roman"/>
            <w:color w:val="0000FF"/>
            <w:sz w:val="24"/>
            <w:szCs w:val="24"/>
            <w:u w:val="single"/>
          </w:rPr>
          <w:t>143/2013/NĐ-CP</w:t>
        </w:r>
      </w:hyperlink>
      <w:r w:rsidRPr="0076695A">
        <w:rPr>
          <w:rFonts w:ascii="Times New Roman" w:eastAsia="Times New Roman" w:hAnsi="Times New Roman" w:cs="Times New Roman"/>
          <w:sz w:val="24"/>
          <w:szCs w:val="24"/>
        </w:rPr>
        <w:t xml:space="preserve">. </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lastRenderedPageBreak/>
        <w:t xml:space="preserve">2. Kể từ ngày Nghị định này có hiệu lực thi hành, người học đang trong quá trình xét chi phí bồi hoàn và chưa có quyết định của cơ quan có thẩm quyền quyết định việc bồi hoàn chi phí đào tạo thì được áp dụng theo quy định tại Nghị định số </w:t>
      </w:r>
      <w:hyperlink r:id="rId9" w:tgtFrame="_blank" w:tooltip="143/2013/NĐ-CP" w:history="1">
        <w:r w:rsidRPr="0076695A">
          <w:rPr>
            <w:rFonts w:ascii="Times New Roman" w:eastAsia="Times New Roman" w:hAnsi="Times New Roman" w:cs="Times New Roman"/>
            <w:color w:val="0000FF"/>
            <w:sz w:val="24"/>
            <w:szCs w:val="24"/>
            <w:u w:val="single"/>
          </w:rPr>
          <w:t>143/2013/NĐ-CP</w:t>
        </w:r>
      </w:hyperlink>
      <w:r w:rsidRPr="0076695A">
        <w:rPr>
          <w:rFonts w:ascii="Times New Roman" w:eastAsia="Times New Roman" w:hAnsi="Times New Roman" w:cs="Times New Roman"/>
          <w:sz w:val="24"/>
          <w:szCs w:val="24"/>
        </w:rPr>
        <w:t xml:space="preserve"> và quy định tại Điều 2, Điều 3 Nghị định này.</w:t>
      </w:r>
    </w:p>
    <w:tbl>
      <w:tblPr>
        <w:tblW w:w="5000" w:type="pct"/>
        <w:tblCellMar>
          <w:left w:w="0" w:type="dxa"/>
          <w:right w:w="0" w:type="dxa"/>
        </w:tblCellMar>
        <w:tblLook w:val="04A0" w:firstRow="1" w:lastRow="0" w:firstColumn="1" w:lastColumn="0" w:noHBand="0" w:noVBand="1"/>
      </w:tblPr>
      <w:tblGrid>
        <w:gridCol w:w="4680"/>
        <w:gridCol w:w="4680"/>
      </w:tblGrid>
      <w:tr w:rsidR="0076695A" w:rsidRPr="0076695A" w:rsidTr="0076695A">
        <w:tc>
          <w:tcPr>
            <w:tcW w:w="2500" w:type="pct"/>
            <w:hideMark/>
          </w:tcPr>
          <w:p w:rsidR="0076695A" w:rsidRPr="0076695A" w:rsidRDefault="0076695A" w:rsidP="0076695A">
            <w:pPr>
              <w:spacing w:before="100" w:beforeAutospacing="1" w:after="100" w:afterAutospacing="1" w:line="240" w:lineRule="auto"/>
              <w:rPr>
                <w:rFonts w:ascii="Times New Roman" w:eastAsia="Times New Roman" w:hAnsi="Times New Roman" w:cs="Times New Roman"/>
                <w:sz w:val="24"/>
                <w:szCs w:val="24"/>
              </w:rPr>
            </w:pPr>
            <w:r w:rsidRPr="0076695A">
              <w:rPr>
                <w:rFonts w:ascii="Times New Roman" w:eastAsia="Times New Roman" w:hAnsi="Times New Roman" w:cs="Times New Roman"/>
                <w:b/>
                <w:bCs/>
                <w:i/>
                <w:iCs/>
                <w:sz w:val="24"/>
                <w:szCs w:val="24"/>
              </w:rPr>
              <w:t>Nơi nhận:</w:t>
            </w:r>
            <w:r w:rsidRPr="0076695A">
              <w:rPr>
                <w:rFonts w:ascii="Times New Roman" w:eastAsia="Times New Roman" w:hAnsi="Times New Roman" w:cs="Times New Roman"/>
                <w:sz w:val="24"/>
                <w:szCs w:val="24"/>
              </w:rPr>
              <w:br/>
              <w:t>- Ban Bí thư Trung ương Đảng;</w:t>
            </w:r>
            <w:r w:rsidRPr="0076695A">
              <w:rPr>
                <w:rFonts w:ascii="Times New Roman" w:eastAsia="Times New Roman" w:hAnsi="Times New Roman" w:cs="Times New Roman"/>
                <w:sz w:val="24"/>
                <w:szCs w:val="24"/>
              </w:rPr>
              <w:br/>
              <w:t>- Thủ tướng, các Phó Thủ tướng Chính phủ;</w:t>
            </w:r>
            <w:r w:rsidRPr="0076695A">
              <w:rPr>
                <w:rFonts w:ascii="Times New Roman" w:eastAsia="Times New Roman" w:hAnsi="Times New Roman" w:cs="Times New Roman"/>
                <w:sz w:val="24"/>
                <w:szCs w:val="24"/>
              </w:rPr>
              <w:br/>
              <w:t>- Các bộ, cơ quan ngang bộ, cơ quan thuộc Chính phủ;</w:t>
            </w:r>
            <w:r w:rsidRPr="0076695A">
              <w:rPr>
                <w:rFonts w:ascii="Times New Roman" w:eastAsia="Times New Roman" w:hAnsi="Times New Roman" w:cs="Times New Roman"/>
                <w:sz w:val="24"/>
                <w:szCs w:val="24"/>
              </w:rPr>
              <w:br/>
              <w:t>- HĐND, UBND các tỉnh, thành phố trực thuộc trung ương;</w:t>
            </w:r>
            <w:r w:rsidRPr="0076695A">
              <w:rPr>
                <w:rFonts w:ascii="Times New Roman" w:eastAsia="Times New Roman" w:hAnsi="Times New Roman" w:cs="Times New Roman"/>
                <w:sz w:val="24"/>
                <w:szCs w:val="24"/>
              </w:rPr>
              <w:br/>
              <w:t>- Văn phòng Trung ương và các Ban của Đảng;</w:t>
            </w:r>
            <w:r w:rsidRPr="0076695A">
              <w:rPr>
                <w:rFonts w:ascii="Times New Roman" w:eastAsia="Times New Roman" w:hAnsi="Times New Roman" w:cs="Times New Roman"/>
                <w:sz w:val="24"/>
                <w:szCs w:val="24"/>
              </w:rPr>
              <w:br/>
              <w:t>- Văn phòng Tổng Bí thư;</w:t>
            </w:r>
            <w:r w:rsidRPr="0076695A">
              <w:rPr>
                <w:rFonts w:ascii="Times New Roman" w:eastAsia="Times New Roman" w:hAnsi="Times New Roman" w:cs="Times New Roman"/>
                <w:sz w:val="24"/>
                <w:szCs w:val="24"/>
              </w:rPr>
              <w:br/>
              <w:t>- Văn phòng Chủ tịch nước;</w:t>
            </w:r>
            <w:r w:rsidRPr="0076695A">
              <w:rPr>
                <w:rFonts w:ascii="Times New Roman" w:eastAsia="Times New Roman" w:hAnsi="Times New Roman" w:cs="Times New Roman"/>
                <w:sz w:val="24"/>
                <w:szCs w:val="24"/>
              </w:rPr>
              <w:br/>
              <w:t>- Hội đồng Dân tộc và các Ủy ban của Quốc hội;</w:t>
            </w:r>
            <w:r w:rsidRPr="0076695A">
              <w:rPr>
                <w:rFonts w:ascii="Times New Roman" w:eastAsia="Times New Roman" w:hAnsi="Times New Roman" w:cs="Times New Roman"/>
                <w:sz w:val="24"/>
                <w:szCs w:val="24"/>
              </w:rPr>
              <w:br/>
              <w:t>- Văn phòng Quốc hội;</w:t>
            </w:r>
            <w:r w:rsidRPr="0076695A">
              <w:rPr>
                <w:rFonts w:ascii="Times New Roman" w:eastAsia="Times New Roman" w:hAnsi="Times New Roman" w:cs="Times New Roman"/>
                <w:sz w:val="24"/>
                <w:szCs w:val="24"/>
              </w:rPr>
              <w:br/>
              <w:t>- Tòa án nhân dân tối cao;</w:t>
            </w:r>
            <w:r w:rsidRPr="0076695A">
              <w:rPr>
                <w:rFonts w:ascii="Times New Roman" w:eastAsia="Times New Roman" w:hAnsi="Times New Roman" w:cs="Times New Roman"/>
                <w:sz w:val="24"/>
                <w:szCs w:val="24"/>
              </w:rPr>
              <w:br/>
              <w:t>- Viện kiểm sát nhân dân tối cao;</w:t>
            </w:r>
            <w:r w:rsidRPr="0076695A">
              <w:rPr>
                <w:rFonts w:ascii="Times New Roman" w:eastAsia="Times New Roman" w:hAnsi="Times New Roman" w:cs="Times New Roman"/>
                <w:sz w:val="24"/>
                <w:szCs w:val="24"/>
              </w:rPr>
              <w:br/>
              <w:t>- Kiểm toán nhà nước;</w:t>
            </w:r>
            <w:r w:rsidRPr="0076695A">
              <w:rPr>
                <w:rFonts w:ascii="Times New Roman" w:eastAsia="Times New Roman" w:hAnsi="Times New Roman" w:cs="Times New Roman"/>
                <w:sz w:val="24"/>
                <w:szCs w:val="24"/>
              </w:rPr>
              <w:br/>
              <w:t>- Ủy ban Trung ương Mặt trận Tổ quốc Việt Nam;</w:t>
            </w:r>
            <w:r w:rsidRPr="0076695A">
              <w:rPr>
                <w:rFonts w:ascii="Times New Roman" w:eastAsia="Times New Roman" w:hAnsi="Times New Roman" w:cs="Times New Roman"/>
                <w:sz w:val="24"/>
                <w:szCs w:val="24"/>
              </w:rPr>
              <w:br/>
              <w:t>- Cơ quan trung ương của các tổ chức chính trị - xã hội;</w:t>
            </w:r>
            <w:r w:rsidRPr="0076695A">
              <w:rPr>
                <w:rFonts w:ascii="Times New Roman" w:eastAsia="Times New Roman" w:hAnsi="Times New Roman" w:cs="Times New Roman"/>
                <w:sz w:val="24"/>
                <w:szCs w:val="24"/>
              </w:rPr>
              <w:br/>
              <w:t>- VPCP: BTCN, các PCN, Trợ lý TTg, TGĐ Cổng TTĐT, các Vụ, Cục, đơn vị trực thuộc, Công báo;</w:t>
            </w:r>
            <w:r w:rsidRPr="0076695A">
              <w:rPr>
                <w:rFonts w:ascii="Times New Roman" w:eastAsia="Times New Roman" w:hAnsi="Times New Roman" w:cs="Times New Roman"/>
                <w:sz w:val="24"/>
                <w:szCs w:val="24"/>
              </w:rPr>
              <w:br/>
              <w:t>- Lưu: VT, KGVX (02b)</w:t>
            </w:r>
          </w:p>
        </w:tc>
        <w:tc>
          <w:tcPr>
            <w:tcW w:w="2500" w:type="pct"/>
            <w:hideMark/>
          </w:tcPr>
          <w:p w:rsidR="0076695A" w:rsidRPr="0076695A" w:rsidRDefault="0076695A" w:rsidP="0076695A">
            <w:pPr>
              <w:spacing w:before="100" w:beforeAutospacing="1" w:after="100" w:afterAutospacing="1" w:line="240" w:lineRule="auto"/>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TM. CHÍNH PHỦ</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b/>
                <w:bCs/>
                <w:sz w:val="24"/>
                <w:szCs w:val="24"/>
              </w:rPr>
              <w:t>KT. THỦ TƯỚNG</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b/>
                <w:bCs/>
                <w:sz w:val="24"/>
                <w:szCs w:val="24"/>
              </w:rPr>
              <w:t>PHÓ THỦ TƯỚNG</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b/>
                <w:bCs/>
                <w:sz w:val="24"/>
                <w:szCs w:val="24"/>
              </w:rPr>
              <w:t>Lê Thành Long</w:t>
            </w:r>
          </w:p>
        </w:tc>
      </w:tr>
    </w:tbl>
    <w:p w:rsidR="0076695A" w:rsidRPr="0076695A" w:rsidRDefault="0076695A" w:rsidP="0076695A">
      <w:pPr>
        <w:spacing w:before="100" w:beforeAutospacing="1" w:after="100" w:afterAutospacing="1" w:line="240" w:lineRule="auto"/>
        <w:jc w:val="center"/>
        <w:rPr>
          <w:rFonts w:ascii="Times New Roman" w:eastAsia="Times New Roman" w:hAnsi="Times New Roman" w:cs="Times New Roman"/>
          <w:sz w:val="28"/>
          <w:szCs w:val="28"/>
        </w:rPr>
      </w:pPr>
      <w:r w:rsidRPr="0076695A">
        <w:rPr>
          <w:rFonts w:ascii="Times New Roman" w:eastAsia="Times New Roman" w:hAnsi="Times New Roman" w:cs="Times New Roman"/>
          <w:b/>
          <w:bCs/>
          <w:sz w:val="28"/>
          <w:szCs w:val="28"/>
        </w:rPr>
        <w:t>Phụ lục</w:t>
      </w:r>
      <w:bookmarkStart w:id="0" w:name="_GoBack"/>
      <w:bookmarkEnd w:id="0"/>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i/>
          <w:iCs/>
          <w:sz w:val="24"/>
          <w:szCs w:val="24"/>
        </w:rPr>
        <w:t xml:space="preserve">(Kèm </w:t>
      </w:r>
      <w:proofErr w:type="gramStart"/>
      <w:r w:rsidRPr="0076695A">
        <w:rPr>
          <w:rFonts w:ascii="Times New Roman" w:eastAsia="Times New Roman" w:hAnsi="Times New Roman" w:cs="Times New Roman"/>
          <w:i/>
          <w:iCs/>
          <w:sz w:val="24"/>
          <w:szCs w:val="24"/>
        </w:rPr>
        <w:t>theo</w:t>
      </w:r>
      <w:proofErr w:type="gramEnd"/>
      <w:r w:rsidRPr="0076695A">
        <w:rPr>
          <w:rFonts w:ascii="Times New Roman" w:eastAsia="Times New Roman" w:hAnsi="Times New Roman" w:cs="Times New Roman"/>
          <w:i/>
          <w:iCs/>
          <w:sz w:val="24"/>
          <w:szCs w:val="24"/>
        </w:rPr>
        <w:t xml:space="preserve"> Nghị định số 51/2026/NĐ-CP</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i/>
          <w:iCs/>
          <w:sz w:val="24"/>
          <w:szCs w:val="24"/>
        </w:rPr>
        <w:t>ngày 02 tháng 02 năm 2026 của Chính phủ)</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756"/>
        <w:gridCol w:w="7584"/>
      </w:tblGrid>
      <w:tr w:rsidR="0076695A" w:rsidRPr="0076695A" w:rsidTr="0076695A">
        <w:tc>
          <w:tcPr>
            <w:tcW w:w="940" w:type="pct"/>
            <w:tcBorders>
              <w:top w:val="single" w:sz="8" w:space="0" w:color="auto"/>
              <w:left w:val="single" w:sz="8" w:space="0" w:color="auto"/>
              <w:bottom w:val="single" w:sz="8" w:space="0" w:color="auto"/>
              <w:right w:val="single" w:sz="8" w:space="0" w:color="auto"/>
            </w:tcBorders>
            <w:hideMark/>
          </w:tcPr>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Mẫu số 01</w:t>
            </w:r>
          </w:p>
        </w:tc>
        <w:tc>
          <w:tcPr>
            <w:tcW w:w="4060" w:type="pct"/>
            <w:tcBorders>
              <w:top w:val="single" w:sz="8" w:space="0" w:color="auto"/>
              <w:left w:val="nil"/>
              <w:bottom w:val="single" w:sz="8" w:space="0" w:color="auto"/>
              <w:right w:val="single" w:sz="8" w:space="0" w:color="auto"/>
            </w:tcBorders>
            <w:hideMark/>
          </w:tcPr>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Đơn đề nghị xóa hoặc miễn chi phí bồi hoàn</w:t>
            </w:r>
          </w:p>
        </w:tc>
      </w:tr>
      <w:tr w:rsidR="0076695A" w:rsidRPr="0076695A" w:rsidTr="0076695A">
        <w:tc>
          <w:tcPr>
            <w:tcW w:w="940" w:type="pct"/>
            <w:tcBorders>
              <w:top w:val="nil"/>
              <w:left w:val="single" w:sz="8" w:space="0" w:color="auto"/>
              <w:bottom w:val="single" w:sz="8" w:space="0" w:color="auto"/>
              <w:right w:val="single" w:sz="8" w:space="0" w:color="auto"/>
            </w:tcBorders>
            <w:hideMark/>
          </w:tcPr>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Mẫu số 02</w:t>
            </w:r>
          </w:p>
        </w:tc>
        <w:tc>
          <w:tcPr>
            <w:tcW w:w="4060" w:type="pct"/>
            <w:tcBorders>
              <w:top w:val="nil"/>
              <w:left w:val="nil"/>
              <w:bottom w:val="single" w:sz="8" w:space="0" w:color="auto"/>
              <w:right w:val="single" w:sz="8" w:space="0" w:color="auto"/>
            </w:tcBorders>
            <w:hideMark/>
          </w:tcPr>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Quyết định xóa chi phí bồi hoàn/Quyết định miễn chi phí bồi hoàn/Quyết định bồi hoàn chi phí đào tạo</w:t>
            </w:r>
          </w:p>
        </w:tc>
      </w:tr>
    </w:tbl>
    <w:p w:rsidR="0076695A" w:rsidRPr="0076695A" w:rsidRDefault="0076695A" w:rsidP="0076695A">
      <w:pPr>
        <w:spacing w:after="0" w:line="252" w:lineRule="auto"/>
        <w:ind w:firstLine="720"/>
        <w:jc w:val="right"/>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Mẫu số 01</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CỘNG HÒA XÃ HỘI CHỦ NGHĨA VIỆT NAM</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b/>
          <w:bCs/>
          <w:sz w:val="24"/>
          <w:szCs w:val="24"/>
        </w:rPr>
        <w:t> Độc lập - Tự do - Hạnh phúc</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vertAlign w:val="superscript"/>
        </w:rPr>
        <w:t>_______________________</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ĐƠN ĐỀ NGHỊ XÓA HOẶC MIỄN CHI PHÍ BỒI HOÀN (1)</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Kính </w:t>
      </w:r>
      <w:proofErr w:type="gramStart"/>
      <w:r w:rsidRPr="0076695A">
        <w:rPr>
          <w:rFonts w:ascii="Times New Roman" w:eastAsia="Times New Roman" w:hAnsi="Times New Roman" w:cs="Times New Roman"/>
          <w:sz w:val="24"/>
          <w:szCs w:val="24"/>
        </w:rPr>
        <w:t>gửi:</w:t>
      </w:r>
      <w:proofErr w:type="gramEnd"/>
      <w:r w:rsidRPr="0076695A">
        <w:rPr>
          <w:rFonts w:ascii="Times New Roman" w:eastAsia="Times New Roman" w:hAnsi="Times New Roman" w:cs="Times New Roman"/>
          <w:sz w:val="24"/>
          <w:szCs w:val="24"/>
        </w:rPr>
        <w:t>(2)</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lastRenderedPageBreak/>
        <w:t>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Tôi là: (3).......................................................................................................................</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Số định danh cá nhân/CCCD: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Địa chỉ liên lạc: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Điện thoại: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Email: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Đề nghị xóa/miễn chi phí bồi hoàn như sau:</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Họ và tên người học: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Số định danh cá nhân/CCCD: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Được cử đi học theo Quyết định số... ngày... của... về </w:t>
      </w:r>
      <w:proofErr w:type="gramStart"/>
      <w:r w:rsidRPr="0076695A">
        <w:rPr>
          <w:rFonts w:ascii="Times New Roman" w:eastAsia="Times New Roman" w:hAnsi="Times New Roman" w:cs="Times New Roman"/>
          <w:sz w:val="24"/>
          <w:szCs w:val="24"/>
        </w:rPr>
        <w:t>việc ........................................</w:t>
      </w:r>
      <w:proofErr w:type="gramEnd"/>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Cơ sở giáo dục đến học: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Trình độ đào tạo: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Ngành/nghề đào tạo: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Thời gian đào tạo </w:t>
      </w:r>
      <w:proofErr w:type="gramStart"/>
      <w:r w:rsidRPr="0076695A">
        <w:rPr>
          <w:rFonts w:ascii="Times New Roman" w:eastAsia="Times New Roman" w:hAnsi="Times New Roman" w:cs="Times New Roman"/>
          <w:sz w:val="24"/>
          <w:szCs w:val="24"/>
        </w:rPr>
        <w:t>theo</w:t>
      </w:r>
      <w:proofErr w:type="gramEnd"/>
      <w:r w:rsidRPr="0076695A">
        <w:rPr>
          <w:rFonts w:ascii="Times New Roman" w:eastAsia="Times New Roman" w:hAnsi="Times New Roman" w:cs="Times New Roman"/>
          <w:sz w:val="24"/>
          <w:szCs w:val="24"/>
        </w:rPr>
        <w:t xml:space="preserve"> Quyết định cử đi học: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Ngày tốt nghiệp/Thời gian đã chấp hành nghĩa vụ làm việc </w:t>
      </w:r>
      <w:proofErr w:type="gramStart"/>
      <w:r w:rsidRPr="0076695A">
        <w:rPr>
          <w:rFonts w:ascii="Times New Roman" w:eastAsia="Times New Roman" w:hAnsi="Times New Roman" w:cs="Times New Roman"/>
          <w:sz w:val="24"/>
          <w:szCs w:val="24"/>
        </w:rPr>
        <w:t>theo</w:t>
      </w:r>
      <w:proofErr w:type="gramEnd"/>
      <w:r w:rsidRPr="0076695A">
        <w:rPr>
          <w:rFonts w:ascii="Times New Roman" w:eastAsia="Times New Roman" w:hAnsi="Times New Roman" w:cs="Times New Roman"/>
          <w:sz w:val="24"/>
          <w:szCs w:val="24"/>
        </w:rPr>
        <w:t xml:space="preserve"> quy định: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Lý do đề nghị xóa/miễn chi phí bồi hoàn: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Tài liệu, minh chứng kèm theo: (4</w:t>
      </w:r>
      <w:proofErr w:type="gramStart"/>
      <w:r w:rsidRPr="0076695A">
        <w:rPr>
          <w:rFonts w:ascii="Times New Roman" w:eastAsia="Times New Roman" w:hAnsi="Times New Roman" w:cs="Times New Roman"/>
          <w:sz w:val="24"/>
          <w:szCs w:val="24"/>
        </w:rPr>
        <w:t>) ................................................................................</w:t>
      </w:r>
      <w:proofErr w:type="gramEnd"/>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Trân trọng đề nghị Quý cơ quan xem xét, quyết định việc xóa/miễn chi phí bồi hoàn như trên.</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680"/>
        <w:gridCol w:w="4680"/>
      </w:tblGrid>
      <w:tr w:rsidR="0076695A" w:rsidRPr="0076695A" w:rsidTr="0076695A">
        <w:tc>
          <w:tcPr>
            <w:tcW w:w="2500" w:type="pct"/>
            <w:hideMark/>
          </w:tcPr>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tc>
        <w:tc>
          <w:tcPr>
            <w:tcW w:w="2500" w:type="pct"/>
            <w:hideMark/>
          </w:tcPr>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i/>
                <w:iCs/>
                <w:sz w:val="24"/>
                <w:szCs w:val="24"/>
              </w:rPr>
              <w:t xml:space="preserve">........., ngày... tháng... </w:t>
            </w:r>
            <w:proofErr w:type="gramStart"/>
            <w:r w:rsidRPr="0076695A">
              <w:rPr>
                <w:rFonts w:ascii="Times New Roman" w:eastAsia="Times New Roman" w:hAnsi="Times New Roman" w:cs="Times New Roman"/>
                <w:i/>
                <w:iCs/>
                <w:sz w:val="24"/>
                <w:szCs w:val="24"/>
              </w:rPr>
              <w:t>năm .......</w:t>
            </w:r>
            <w:proofErr w:type="gramEnd"/>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b/>
                <w:bCs/>
                <w:sz w:val="24"/>
                <w:szCs w:val="24"/>
              </w:rPr>
              <w:t>Người làm đơn</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i/>
                <w:iCs/>
                <w:sz w:val="24"/>
                <w:szCs w:val="24"/>
              </w:rPr>
              <w:t>(Ký và ghi rõ họ tên)</w:t>
            </w:r>
          </w:p>
        </w:tc>
      </w:tr>
    </w:tbl>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b/>
          <w:bCs/>
          <w:i/>
          <w:iCs/>
          <w:sz w:val="24"/>
          <w:szCs w:val="24"/>
        </w:rPr>
        <w:t>Ghi chú:</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(1) Ghi rõ đề nghị xóa hay miễn chi phí bồi hoàn.</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(2) Cơ quan có thẩm quyền xem xét, quyết định việc xóa hoặc miễn chi phí bồi hoàn.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(3) Ghi rõ là người học hay bố, mẹ đẻ hoặc chồng, vợ hoặc người đại diện hợp pháp khác của người học.</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(4) Nêu rõ loại giấy tờ chứng minh thuộc trường hợp được xóa hoặc miễn chi phí bồi hoàn </w:t>
      </w:r>
      <w:proofErr w:type="gramStart"/>
      <w:r w:rsidRPr="0076695A">
        <w:rPr>
          <w:rFonts w:ascii="Times New Roman" w:eastAsia="Times New Roman" w:hAnsi="Times New Roman" w:cs="Times New Roman"/>
          <w:sz w:val="24"/>
          <w:szCs w:val="24"/>
        </w:rPr>
        <w:t>theo</w:t>
      </w:r>
      <w:proofErr w:type="gramEnd"/>
      <w:r w:rsidRPr="0076695A">
        <w:rPr>
          <w:rFonts w:ascii="Times New Roman" w:eastAsia="Times New Roman" w:hAnsi="Times New Roman" w:cs="Times New Roman"/>
          <w:sz w:val="24"/>
          <w:szCs w:val="24"/>
        </w:rPr>
        <w:t xml:space="preserve"> quy định tại Nghị định này.</w:t>
      </w:r>
    </w:p>
    <w:p w:rsidR="0076695A" w:rsidRPr="0076695A" w:rsidRDefault="0076695A" w:rsidP="0076695A">
      <w:pPr>
        <w:spacing w:after="0" w:line="252" w:lineRule="auto"/>
        <w:ind w:firstLine="720"/>
        <w:jc w:val="right"/>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Mẫu số 02</w:t>
      </w:r>
    </w:p>
    <w:tbl>
      <w:tblPr>
        <w:tblW w:w="5000" w:type="pct"/>
        <w:tblCellMar>
          <w:left w:w="0" w:type="dxa"/>
          <w:right w:w="0" w:type="dxa"/>
        </w:tblCellMar>
        <w:tblLook w:val="04A0" w:firstRow="1" w:lastRow="0" w:firstColumn="1" w:lastColumn="0" w:noHBand="0" w:noVBand="1"/>
      </w:tblPr>
      <w:tblGrid>
        <w:gridCol w:w="4680"/>
        <w:gridCol w:w="4680"/>
      </w:tblGrid>
      <w:tr w:rsidR="0076695A" w:rsidRPr="0076695A" w:rsidTr="0076695A">
        <w:tc>
          <w:tcPr>
            <w:tcW w:w="2500" w:type="pct"/>
            <w:hideMark/>
          </w:tcPr>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proofErr w:type="gramStart"/>
            <w:r w:rsidRPr="0076695A">
              <w:rPr>
                <w:rFonts w:ascii="Times New Roman" w:eastAsia="Times New Roman" w:hAnsi="Times New Roman" w:cs="Times New Roman"/>
                <w:sz w:val="24"/>
                <w:szCs w:val="24"/>
              </w:rPr>
              <w:t>...(</w:t>
            </w:r>
            <w:proofErr w:type="gramEnd"/>
            <w:r w:rsidRPr="0076695A">
              <w:rPr>
                <w:rFonts w:ascii="Times New Roman" w:eastAsia="Times New Roman" w:hAnsi="Times New Roman" w:cs="Times New Roman"/>
                <w:sz w:val="24"/>
                <w:szCs w:val="24"/>
              </w:rPr>
              <w:t>1)...</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vertAlign w:val="superscript"/>
              </w:rPr>
              <w:t>____</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rPr>
              <w:br/>
              <w:t>Số: ........../QĐ-......</w:t>
            </w:r>
          </w:p>
        </w:tc>
        <w:tc>
          <w:tcPr>
            <w:tcW w:w="2500" w:type="pct"/>
            <w:hideMark/>
          </w:tcPr>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CỘNG HÒA XÃ HỘI CHỦ NGHĨA VIỆT NAM</w:t>
            </w:r>
            <w:r w:rsidRPr="0076695A">
              <w:rPr>
                <w:rFonts w:ascii="Times New Roman" w:eastAsia="Times New Roman" w:hAnsi="Times New Roman" w:cs="Times New Roman"/>
                <w:b/>
                <w:bCs/>
                <w:sz w:val="24"/>
                <w:szCs w:val="24"/>
              </w:rPr>
              <w:br/>
              <w:t>Độc lập – Tự do – Hạnh phúc</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sz w:val="24"/>
                <w:szCs w:val="24"/>
                <w:vertAlign w:val="superscript"/>
              </w:rPr>
              <w:t>_______________________</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i/>
                <w:iCs/>
                <w:sz w:val="24"/>
                <w:szCs w:val="24"/>
              </w:rPr>
              <w:t xml:space="preserve">..., ngày ... tháng ... </w:t>
            </w:r>
            <w:proofErr w:type="gramStart"/>
            <w:r w:rsidRPr="0076695A">
              <w:rPr>
                <w:rFonts w:ascii="Times New Roman" w:eastAsia="Times New Roman" w:hAnsi="Times New Roman" w:cs="Times New Roman"/>
                <w:i/>
                <w:iCs/>
                <w:sz w:val="24"/>
                <w:szCs w:val="24"/>
              </w:rPr>
              <w:t>năm .......</w:t>
            </w:r>
            <w:proofErr w:type="gramEnd"/>
          </w:p>
        </w:tc>
      </w:tr>
    </w:tbl>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QUYẾT ĐỊNH</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 xml:space="preserve">Về việc </w:t>
      </w:r>
      <w:proofErr w:type="gramStart"/>
      <w:r w:rsidRPr="0076695A">
        <w:rPr>
          <w:rFonts w:ascii="Times New Roman" w:eastAsia="Times New Roman" w:hAnsi="Times New Roman" w:cs="Times New Roman"/>
          <w:b/>
          <w:bCs/>
          <w:sz w:val="24"/>
          <w:szCs w:val="24"/>
        </w:rPr>
        <w:t>...............(</w:t>
      </w:r>
      <w:proofErr w:type="gramEnd"/>
      <w:r w:rsidRPr="0076695A">
        <w:rPr>
          <w:rFonts w:ascii="Times New Roman" w:eastAsia="Times New Roman" w:hAnsi="Times New Roman" w:cs="Times New Roman"/>
          <w:b/>
          <w:bCs/>
          <w:sz w:val="24"/>
          <w:szCs w:val="24"/>
        </w:rPr>
        <w:t>2).................</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vertAlign w:val="superscript"/>
        </w:rPr>
        <w:t>____________</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 xml:space="preserve">THẨM QUYỀN BAN HÀNH </w:t>
      </w:r>
      <w:proofErr w:type="gramStart"/>
      <w:r w:rsidRPr="0076695A">
        <w:rPr>
          <w:rFonts w:ascii="Times New Roman" w:eastAsia="Times New Roman" w:hAnsi="Times New Roman" w:cs="Times New Roman"/>
          <w:b/>
          <w:bCs/>
          <w:sz w:val="24"/>
          <w:szCs w:val="24"/>
        </w:rPr>
        <w:t>........(</w:t>
      </w:r>
      <w:proofErr w:type="gramEnd"/>
      <w:r w:rsidRPr="0076695A">
        <w:rPr>
          <w:rFonts w:ascii="Times New Roman" w:eastAsia="Times New Roman" w:hAnsi="Times New Roman" w:cs="Times New Roman"/>
          <w:b/>
          <w:bCs/>
          <w:sz w:val="24"/>
          <w:szCs w:val="24"/>
        </w:rPr>
        <w:t>3)...........</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lastRenderedPageBreak/>
        <w:t>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i/>
          <w:iCs/>
          <w:sz w:val="24"/>
          <w:szCs w:val="24"/>
        </w:rPr>
        <w:t xml:space="preserve">Căn cứ </w:t>
      </w:r>
      <w:proofErr w:type="gramStart"/>
      <w:r w:rsidRPr="0076695A">
        <w:rPr>
          <w:rFonts w:ascii="Times New Roman" w:eastAsia="Times New Roman" w:hAnsi="Times New Roman" w:cs="Times New Roman"/>
          <w:i/>
          <w:iCs/>
          <w:sz w:val="24"/>
          <w:szCs w:val="24"/>
        </w:rPr>
        <w:t>..............................................(</w:t>
      </w:r>
      <w:proofErr w:type="gramEnd"/>
      <w:r w:rsidRPr="0076695A">
        <w:rPr>
          <w:rFonts w:ascii="Times New Roman" w:eastAsia="Times New Roman" w:hAnsi="Times New Roman" w:cs="Times New Roman"/>
          <w:i/>
          <w:iCs/>
          <w:sz w:val="24"/>
          <w:szCs w:val="24"/>
        </w:rPr>
        <w:t>4).....................................................................;</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i/>
          <w:iCs/>
          <w:sz w:val="24"/>
          <w:szCs w:val="24"/>
        </w:rPr>
        <w:t xml:space="preserve">Theo đề nghị </w:t>
      </w:r>
      <w:proofErr w:type="gramStart"/>
      <w:r w:rsidRPr="0076695A">
        <w:rPr>
          <w:rFonts w:ascii="Times New Roman" w:eastAsia="Times New Roman" w:hAnsi="Times New Roman" w:cs="Times New Roman"/>
          <w:i/>
          <w:iCs/>
          <w:sz w:val="24"/>
          <w:szCs w:val="24"/>
        </w:rPr>
        <w:t>của ........................................................................................................</w:t>
      </w:r>
      <w:proofErr w:type="gramEnd"/>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QUYẾT ĐỊNH:</w:t>
      </w:r>
    </w:p>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Điều...</w:t>
      </w:r>
      <w:r w:rsidRPr="0076695A">
        <w:rPr>
          <w:rFonts w:ascii="Times New Roman" w:eastAsia="Times New Roman" w:hAnsi="Times New Roman" w:cs="Times New Roman"/>
          <w:sz w:val="24"/>
          <w:szCs w:val="24"/>
        </w:rPr>
        <w:t xml:space="preserve"> </w:t>
      </w:r>
      <w:proofErr w:type="gramStart"/>
      <w:r w:rsidRPr="0076695A">
        <w:rPr>
          <w:rFonts w:ascii="Times New Roman" w:eastAsia="Times New Roman" w:hAnsi="Times New Roman" w:cs="Times New Roman"/>
          <w:sz w:val="24"/>
          <w:szCs w:val="24"/>
        </w:rPr>
        <w:t>..........................................................(</w:t>
      </w:r>
      <w:proofErr w:type="gramEnd"/>
      <w:r w:rsidRPr="0076695A">
        <w:rPr>
          <w:rFonts w:ascii="Times New Roman" w:eastAsia="Times New Roman" w:hAnsi="Times New Roman" w:cs="Times New Roman"/>
          <w:sz w:val="24"/>
          <w:szCs w:val="24"/>
        </w:rPr>
        <w:t>5)..................................................................</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Điều...</w:t>
      </w:r>
      <w:r w:rsidRPr="0076695A">
        <w:rPr>
          <w:rFonts w:ascii="Times New Roman" w:eastAsia="Times New Roman" w:hAnsi="Times New Roman" w:cs="Times New Roman"/>
          <w:sz w:val="24"/>
          <w:szCs w:val="24"/>
        </w:rPr>
        <w:t xml:space="preserve"> </w:t>
      </w:r>
      <w:proofErr w:type="gramStart"/>
      <w:r w:rsidRPr="0076695A">
        <w:rPr>
          <w:rFonts w:ascii="Times New Roman" w:eastAsia="Times New Roman" w:hAnsi="Times New Roman" w:cs="Times New Roman"/>
          <w:sz w:val="24"/>
          <w:szCs w:val="24"/>
        </w:rPr>
        <w:t>.............................................................(</w:t>
      </w:r>
      <w:proofErr w:type="gramEnd"/>
      <w:r w:rsidRPr="0076695A">
        <w:rPr>
          <w:rFonts w:ascii="Times New Roman" w:eastAsia="Times New Roman" w:hAnsi="Times New Roman" w:cs="Times New Roman"/>
          <w:sz w:val="24"/>
          <w:szCs w:val="24"/>
        </w:rPr>
        <w:t>6)................................................................</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Điều...</w:t>
      </w:r>
      <w:r w:rsidRPr="0076695A">
        <w:rPr>
          <w:rFonts w:ascii="Times New Roman" w:eastAsia="Times New Roman" w:hAnsi="Times New Roman" w:cs="Times New Roman"/>
          <w:sz w:val="24"/>
          <w:szCs w:val="24"/>
        </w:rPr>
        <w:t xml:space="preserve"> </w:t>
      </w:r>
      <w:proofErr w:type="gramStart"/>
      <w:r w:rsidRPr="0076695A">
        <w:rPr>
          <w:rFonts w:ascii="Times New Roman" w:eastAsia="Times New Roman" w:hAnsi="Times New Roman" w:cs="Times New Roman"/>
          <w:sz w:val="24"/>
          <w:szCs w:val="24"/>
        </w:rPr>
        <w:t>...............................................................(</w:t>
      </w:r>
      <w:proofErr w:type="gramEnd"/>
      <w:r w:rsidRPr="0076695A">
        <w:rPr>
          <w:rFonts w:ascii="Times New Roman" w:eastAsia="Times New Roman" w:hAnsi="Times New Roman" w:cs="Times New Roman"/>
          <w:sz w:val="24"/>
          <w:szCs w:val="24"/>
        </w:rPr>
        <w:t>7)..............................................................</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680"/>
        <w:gridCol w:w="4680"/>
      </w:tblGrid>
      <w:tr w:rsidR="0076695A" w:rsidRPr="0076695A" w:rsidTr="0076695A">
        <w:tc>
          <w:tcPr>
            <w:tcW w:w="2500" w:type="pct"/>
            <w:hideMark/>
          </w:tcPr>
          <w:p w:rsidR="0076695A" w:rsidRPr="0076695A" w:rsidRDefault="0076695A" w:rsidP="0076695A">
            <w:pPr>
              <w:spacing w:after="0" w:line="252" w:lineRule="auto"/>
              <w:ind w:firstLine="720"/>
              <w:rPr>
                <w:rFonts w:ascii="Times New Roman" w:eastAsia="Times New Roman" w:hAnsi="Times New Roman" w:cs="Times New Roman"/>
                <w:sz w:val="24"/>
                <w:szCs w:val="24"/>
              </w:rPr>
            </w:pPr>
            <w:r w:rsidRPr="0076695A">
              <w:rPr>
                <w:rFonts w:ascii="Times New Roman" w:eastAsia="Times New Roman" w:hAnsi="Times New Roman" w:cs="Times New Roman"/>
                <w:b/>
                <w:bCs/>
                <w:i/>
                <w:iCs/>
                <w:sz w:val="24"/>
                <w:szCs w:val="24"/>
              </w:rPr>
              <w:t>Nơi nhận</w:t>
            </w:r>
            <w:proofErr w:type="gramStart"/>
            <w:r w:rsidRPr="0076695A">
              <w:rPr>
                <w:rFonts w:ascii="Times New Roman" w:eastAsia="Times New Roman" w:hAnsi="Times New Roman" w:cs="Times New Roman"/>
                <w:b/>
                <w:bCs/>
                <w:i/>
                <w:iCs/>
                <w:sz w:val="24"/>
                <w:szCs w:val="24"/>
              </w:rPr>
              <w:t>:</w:t>
            </w:r>
            <w:proofErr w:type="gramEnd"/>
            <w:r w:rsidRPr="0076695A">
              <w:rPr>
                <w:rFonts w:ascii="Times New Roman" w:eastAsia="Times New Roman" w:hAnsi="Times New Roman" w:cs="Times New Roman"/>
                <w:sz w:val="24"/>
                <w:szCs w:val="24"/>
              </w:rPr>
              <w:br/>
              <w:t>- Như Điều...;</w:t>
            </w:r>
            <w:r w:rsidRPr="0076695A">
              <w:rPr>
                <w:rFonts w:ascii="Times New Roman" w:eastAsia="Times New Roman" w:hAnsi="Times New Roman" w:cs="Times New Roman"/>
                <w:sz w:val="24"/>
                <w:szCs w:val="24"/>
              </w:rPr>
              <w:br/>
              <w:t>- ...........;</w:t>
            </w:r>
            <w:r w:rsidRPr="0076695A">
              <w:rPr>
                <w:rFonts w:ascii="Times New Roman" w:eastAsia="Times New Roman" w:hAnsi="Times New Roman" w:cs="Times New Roman"/>
                <w:sz w:val="24"/>
                <w:szCs w:val="24"/>
              </w:rPr>
              <w:br/>
              <w:t>- Lưu: VT, (8) A.xx (9).</w:t>
            </w:r>
          </w:p>
        </w:tc>
        <w:tc>
          <w:tcPr>
            <w:tcW w:w="2500" w:type="pct"/>
            <w:hideMark/>
          </w:tcPr>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b/>
                <w:bCs/>
                <w:sz w:val="24"/>
                <w:szCs w:val="24"/>
              </w:rPr>
              <w:t>QUYỀN HẠN, CHỨC VỤ CỦA NGƯỜI KÝ</w:t>
            </w:r>
            <w:r w:rsidRPr="0076695A">
              <w:rPr>
                <w:rFonts w:ascii="Times New Roman" w:eastAsia="Times New Roman" w:hAnsi="Times New Roman" w:cs="Times New Roman"/>
                <w:sz w:val="24"/>
                <w:szCs w:val="24"/>
              </w:rPr>
              <w:br/>
            </w:r>
            <w:r w:rsidRPr="0076695A">
              <w:rPr>
                <w:rFonts w:ascii="Times New Roman" w:eastAsia="Times New Roman" w:hAnsi="Times New Roman" w:cs="Times New Roman"/>
                <w:i/>
                <w:iCs/>
                <w:sz w:val="24"/>
                <w:szCs w:val="24"/>
              </w:rPr>
              <w:t>(Ký tên, đóng dấu, ghi rõ họ tên)</w:t>
            </w:r>
          </w:p>
        </w:tc>
      </w:tr>
    </w:tbl>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center"/>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b/>
          <w:bCs/>
          <w:i/>
          <w:iCs/>
          <w:sz w:val="24"/>
          <w:szCs w:val="24"/>
        </w:rPr>
        <w:t>Ghi chú:</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(1) Cơ quan có thẩm quyền ra quyết định.</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(2) Ghi rõ xóa hay miễn hay bồi hoàn chi phí đào tạo.</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(3) Chức vụ của người đứng đầu cơ quan ban hành quyết định.</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 xml:space="preserve">(4) Nêu các căn cứ để ban hành quyết định </w:t>
      </w:r>
      <w:r w:rsidRPr="0076695A">
        <w:rPr>
          <w:rFonts w:ascii="Times New Roman" w:eastAsia="Times New Roman" w:hAnsi="Times New Roman" w:cs="Times New Roman"/>
          <w:i/>
          <w:iCs/>
          <w:sz w:val="24"/>
          <w:szCs w:val="24"/>
        </w:rPr>
        <w:t>(văn bản thành lập, quy định chức năng, nhiệm vụ, quyền hạn của cơ quan, tổ chức ban hành quyết định; các văn bản pháp lý liên quan trực tiếp đến vấn đề giải quyết trong nội dung quyết định).</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(5) Ghi rõ nội dung quyết định.</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(6) Hiệu lực thi hành của quyết định.</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(7) Trách nhiệm tổ chức thực hiện quyết định.</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(8) Chữ viết tắt tên đơn vị soạn thảo và số lượng bản lưu (nếu cần).</w:t>
      </w:r>
    </w:p>
    <w:p w:rsidR="0076695A" w:rsidRPr="0076695A" w:rsidRDefault="0076695A" w:rsidP="0076695A">
      <w:pPr>
        <w:spacing w:after="0" w:line="252" w:lineRule="auto"/>
        <w:ind w:firstLine="720"/>
        <w:jc w:val="both"/>
        <w:rPr>
          <w:rFonts w:ascii="Times New Roman" w:eastAsia="Times New Roman" w:hAnsi="Times New Roman" w:cs="Times New Roman"/>
          <w:sz w:val="24"/>
          <w:szCs w:val="24"/>
        </w:rPr>
      </w:pPr>
      <w:r w:rsidRPr="0076695A">
        <w:rPr>
          <w:rFonts w:ascii="Times New Roman" w:eastAsia="Times New Roman" w:hAnsi="Times New Roman" w:cs="Times New Roman"/>
          <w:sz w:val="24"/>
          <w:szCs w:val="24"/>
        </w:rPr>
        <w:t>(9) Ký hiệu người soạn thảo văn bản và số lượng bản phát hành (nếu cần).</w:t>
      </w:r>
    </w:p>
    <w:p w:rsidR="006E2ACE" w:rsidRDefault="0076695A"/>
    <w:sectPr w:rsidR="006E2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5A"/>
    <w:rsid w:val="0076695A"/>
    <w:rsid w:val="009561CA"/>
    <w:rsid w:val="00CA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8D649-811E-4E44-A505-39F3DD6A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9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95A"/>
    <w:rPr>
      <w:i/>
      <w:iCs/>
    </w:rPr>
  </w:style>
  <w:style w:type="character" w:styleId="Hyperlink">
    <w:name w:val="Hyperlink"/>
    <w:basedOn w:val="DefaultParagraphFont"/>
    <w:uiPriority w:val="99"/>
    <w:semiHidden/>
    <w:unhideWhenUsed/>
    <w:rsid w:val="0076695A"/>
    <w:rPr>
      <w:color w:val="0000FF"/>
      <w:u w:val="single"/>
    </w:rPr>
  </w:style>
  <w:style w:type="character" w:customStyle="1" w:styleId="popuprelate">
    <w:name w:val="popuprelate"/>
    <w:basedOn w:val="DefaultParagraphFont"/>
    <w:rsid w:val="0076695A"/>
  </w:style>
  <w:style w:type="character" w:customStyle="1" w:styleId="noi-dung-tham-chieu">
    <w:name w:val="noi-dung-tham-chieu"/>
    <w:basedOn w:val="DefaultParagraphFont"/>
    <w:rsid w:val="0076695A"/>
  </w:style>
  <w:style w:type="character" w:styleId="Strong">
    <w:name w:val="Strong"/>
    <w:basedOn w:val="DefaultParagraphFont"/>
    <w:uiPriority w:val="22"/>
    <w:qFormat/>
    <w:rsid w:val="00766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59176">
      <w:bodyDiv w:val="1"/>
      <w:marLeft w:val="0"/>
      <w:marRight w:val="0"/>
      <w:marTop w:val="0"/>
      <w:marBottom w:val="0"/>
      <w:divBdr>
        <w:top w:val="none" w:sz="0" w:space="0" w:color="auto"/>
        <w:left w:val="none" w:sz="0" w:space="0" w:color="auto"/>
        <w:bottom w:val="none" w:sz="0" w:space="0" w:color="auto"/>
        <w:right w:val="none" w:sz="0" w:space="0" w:color="auto"/>
      </w:divBdr>
      <w:divsChild>
        <w:div w:id="571158269">
          <w:marLeft w:val="0"/>
          <w:marRight w:val="0"/>
          <w:marTop w:val="0"/>
          <w:marBottom w:val="0"/>
          <w:divBdr>
            <w:top w:val="none" w:sz="0" w:space="0" w:color="auto"/>
            <w:left w:val="none" w:sz="0" w:space="0" w:color="auto"/>
            <w:bottom w:val="none" w:sz="0" w:space="0" w:color="auto"/>
            <w:right w:val="none" w:sz="0" w:space="0" w:color="auto"/>
          </w:divBdr>
        </w:div>
        <w:div w:id="1004170630">
          <w:marLeft w:val="0"/>
          <w:marRight w:val="0"/>
          <w:marTop w:val="0"/>
          <w:marBottom w:val="0"/>
          <w:divBdr>
            <w:top w:val="none" w:sz="0" w:space="0" w:color="auto"/>
            <w:left w:val="none" w:sz="0" w:space="0" w:color="auto"/>
            <w:bottom w:val="none" w:sz="0" w:space="0" w:color="auto"/>
            <w:right w:val="none" w:sz="0" w:space="0" w:color="auto"/>
          </w:divBdr>
          <w:divsChild>
            <w:div w:id="769280580">
              <w:marLeft w:val="0"/>
              <w:marRight w:val="0"/>
              <w:marTop w:val="0"/>
              <w:marBottom w:val="0"/>
              <w:divBdr>
                <w:top w:val="none" w:sz="0" w:space="0" w:color="auto"/>
                <w:left w:val="none" w:sz="0" w:space="0" w:color="auto"/>
                <w:bottom w:val="none" w:sz="0" w:space="0" w:color="auto"/>
                <w:right w:val="none" w:sz="0" w:space="0" w:color="auto"/>
              </w:divBdr>
            </w:div>
          </w:divsChild>
        </w:div>
        <w:div w:id="1196888484">
          <w:marLeft w:val="0"/>
          <w:marRight w:val="0"/>
          <w:marTop w:val="0"/>
          <w:marBottom w:val="0"/>
          <w:divBdr>
            <w:top w:val="none" w:sz="0" w:space="0" w:color="auto"/>
            <w:left w:val="none" w:sz="0" w:space="0" w:color="auto"/>
            <w:bottom w:val="none" w:sz="0" w:space="0" w:color="auto"/>
            <w:right w:val="none" w:sz="0" w:space="0" w:color="auto"/>
          </w:divBdr>
        </w:div>
        <w:div w:id="1079403014">
          <w:marLeft w:val="0"/>
          <w:marRight w:val="0"/>
          <w:marTop w:val="0"/>
          <w:marBottom w:val="0"/>
          <w:divBdr>
            <w:top w:val="none" w:sz="0" w:space="0" w:color="auto"/>
            <w:left w:val="none" w:sz="0" w:space="0" w:color="auto"/>
            <w:bottom w:val="none" w:sz="0" w:space="0" w:color="auto"/>
            <w:right w:val="none" w:sz="0" w:space="0" w:color="auto"/>
          </w:divBdr>
        </w:div>
        <w:div w:id="1581865234">
          <w:marLeft w:val="0"/>
          <w:marRight w:val="0"/>
          <w:marTop w:val="0"/>
          <w:marBottom w:val="0"/>
          <w:divBdr>
            <w:top w:val="none" w:sz="0" w:space="0" w:color="auto"/>
            <w:left w:val="none" w:sz="0" w:space="0" w:color="auto"/>
            <w:bottom w:val="none" w:sz="0" w:space="0" w:color="auto"/>
            <w:right w:val="none" w:sz="0" w:space="0" w:color="auto"/>
          </w:divBdr>
          <w:divsChild>
            <w:div w:id="720372558">
              <w:marLeft w:val="0"/>
              <w:marRight w:val="0"/>
              <w:marTop w:val="0"/>
              <w:marBottom w:val="0"/>
              <w:divBdr>
                <w:top w:val="none" w:sz="0" w:space="0" w:color="auto"/>
                <w:left w:val="none" w:sz="0" w:space="0" w:color="auto"/>
                <w:bottom w:val="none" w:sz="0" w:space="0" w:color="auto"/>
                <w:right w:val="none" w:sz="0" w:space="0" w:color="auto"/>
              </w:divBdr>
            </w:div>
          </w:divsChild>
        </w:div>
        <w:div w:id="949359112">
          <w:marLeft w:val="0"/>
          <w:marRight w:val="0"/>
          <w:marTop w:val="0"/>
          <w:marBottom w:val="0"/>
          <w:divBdr>
            <w:top w:val="none" w:sz="0" w:space="0" w:color="auto"/>
            <w:left w:val="none" w:sz="0" w:space="0" w:color="auto"/>
            <w:bottom w:val="none" w:sz="0" w:space="0" w:color="auto"/>
            <w:right w:val="none" w:sz="0" w:space="0" w:color="auto"/>
          </w:divBdr>
          <w:divsChild>
            <w:div w:id="905801427">
              <w:marLeft w:val="0"/>
              <w:marRight w:val="0"/>
              <w:marTop w:val="0"/>
              <w:marBottom w:val="0"/>
              <w:divBdr>
                <w:top w:val="none" w:sz="0" w:space="0" w:color="auto"/>
                <w:left w:val="none" w:sz="0" w:space="0" w:color="auto"/>
                <w:bottom w:val="none" w:sz="0" w:space="0" w:color="auto"/>
                <w:right w:val="none" w:sz="0" w:space="0" w:color="auto"/>
              </w:divBdr>
            </w:div>
          </w:divsChild>
        </w:div>
        <w:div w:id="293827064">
          <w:marLeft w:val="0"/>
          <w:marRight w:val="0"/>
          <w:marTop w:val="0"/>
          <w:marBottom w:val="0"/>
          <w:divBdr>
            <w:top w:val="none" w:sz="0" w:space="0" w:color="auto"/>
            <w:left w:val="none" w:sz="0" w:space="0" w:color="auto"/>
            <w:bottom w:val="none" w:sz="0" w:space="0" w:color="auto"/>
            <w:right w:val="none" w:sz="0" w:space="0" w:color="auto"/>
          </w:divBdr>
          <w:divsChild>
            <w:div w:id="1191334785">
              <w:marLeft w:val="0"/>
              <w:marRight w:val="0"/>
              <w:marTop w:val="0"/>
              <w:marBottom w:val="0"/>
              <w:divBdr>
                <w:top w:val="none" w:sz="0" w:space="0" w:color="auto"/>
                <w:left w:val="none" w:sz="0" w:space="0" w:color="auto"/>
                <w:bottom w:val="none" w:sz="0" w:space="0" w:color="auto"/>
                <w:right w:val="none" w:sz="0" w:space="0" w:color="auto"/>
              </w:divBdr>
            </w:div>
          </w:divsChild>
        </w:div>
        <w:div w:id="174153507">
          <w:marLeft w:val="0"/>
          <w:marRight w:val="0"/>
          <w:marTop w:val="0"/>
          <w:marBottom w:val="0"/>
          <w:divBdr>
            <w:top w:val="none" w:sz="0" w:space="0" w:color="auto"/>
            <w:left w:val="none" w:sz="0" w:space="0" w:color="auto"/>
            <w:bottom w:val="none" w:sz="0" w:space="0" w:color="auto"/>
            <w:right w:val="none" w:sz="0" w:space="0" w:color="auto"/>
          </w:divBdr>
          <w:divsChild>
            <w:div w:id="1805849381">
              <w:marLeft w:val="0"/>
              <w:marRight w:val="0"/>
              <w:marTop w:val="0"/>
              <w:marBottom w:val="0"/>
              <w:divBdr>
                <w:top w:val="none" w:sz="0" w:space="0" w:color="auto"/>
                <w:left w:val="none" w:sz="0" w:space="0" w:color="auto"/>
                <w:bottom w:val="none" w:sz="0" w:space="0" w:color="auto"/>
                <w:right w:val="none" w:sz="0" w:space="0" w:color="auto"/>
              </w:divBdr>
            </w:div>
          </w:divsChild>
        </w:div>
        <w:div w:id="283972625">
          <w:marLeft w:val="0"/>
          <w:marRight w:val="0"/>
          <w:marTop w:val="0"/>
          <w:marBottom w:val="0"/>
          <w:divBdr>
            <w:top w:val="none" w:sz="0" w:space="0" w:color="auto"/>
            <w:left w:val="none" w:sz="0" w:space="0" w:color="auto"/>
            <w:bottom w:val="none" w:sz="0" w:space="0" w:color="auto"/>
            <w:right w:val="none" w:sz="0" w:space="0" w:color="auto"/>
          </w:divBdr>
          <w:divsChild>
            <w:div w:id="1950893949">
              <w:marLeft w:val="0"/>
              <w:marRight w:val="0"/>
              <w:marTop w:val="0"/>
              <w:marBottom w:val="0"/>
              <w:divBdr>
                <w:top w:val="none" w:sz="0" w:space="0" w:color="auto"/>
                <w:left w:val="none" w:sz="0" w:space="0" w:color="auto"/>
                <w:bottom w:val="none" w:sz="0" w:space="0" w:color="auto"/>
                <w:right w:val="none" w:sz="0" w:space="0" w:color="auto"/>
              </w:divBdr>
            </w:div>
          </w:divsChild>
        </w:div>
        <w:div w:id="1903522925">
          <w:marLeft w:val="0"/>
          <w:marRight w:val="0"/>
          <w:marTop w:val="0"/>
          <w:marBottom w:val="0"/>
          <w:divBdr>
            <w:top w:val="none" w:sz="0" w:space="0" w:color="auto"/>
            <w:left w:val="none" w:sz="0" w:space="0" w:color="auto"/>
            <w:bottom w:val="none" w:sz="0" w:space="0" w:color="auto"/>
            <w:right w:val="none" w:sz="0" w:space="0" w:color="auto"/>
          </w:divBdr>
          <w:divsChild>
            <w:div w:id="1856847652">
              <w:marLeft w:val="0"/>
              <w:marRight w:val="0"/>
              <w:marTop w:val="0"/>
              <w:marBottom w:val="0"/>
              <w:divBdr>
                <w:top w:val="none" w:sz="0" w:space="0" w:color="auto"/>
                <w:left w:val="none" w:sz="0" w:space="0" w:color="auto"/>
                <w:bottom w:val="none" w:sz="0" w:space="0" w:color="auto"/>
                <w:right w:val="none" w:sz="0" w:space="0" w:color="auto"/>
              </w:divBdr>
            </w:div>
          </w:divsChild>
        </w:div>
        <w:div w:id="1251547537">
          <w:marLeft w:val="0"/>
          <w:marRight w:val="0"/>
          <w:marTop w:val="0"/>
          <w:marBottom w:val="0"/>
          <w:divBdr>
            <w:top w:val="none" w:sz="0" w:space="0" w:color="auto"/>
            <w:left w:val="none" w:sz="0" w:space="0" w:color="auto"/>
            <w:bottom w:val="none" w:sz="0" w:space="0" w:color="auto"/>
            <w:right w:val="none" w:sz="0" w:space="0" w:color="auto"/>
          </w:divBdr>
          <w:divsChild>
            <w:div w:id="416245485">
              <w:marLeft w:val="0"/>
              <w:marRight w:val="0"/>
              <w:marTop w:val="0"/>
              <w:marBottom w:val="0"/>
              <w:divBdr>
                <w:top w:val="none" w:sz="0" w:space="0" w:color="auto"/>
                <w:left w:val="none" w:sz="0" w:space="0" w:color="auto"/>
                <w:bottom w:val="none" w:sz="0" w:space="0" w:color="auto"/>
                <w:right w:val="none" w:sz="0" w:space="0" w:color="auto"/>
              </w:divBdr>
            </w:div>
          </w:divsChild>
        </w:div>
        <w:div w:id="2046059382">
          <w:marLeft w:val="0"/>
          <w:marRight w:val="0"/>
          <w:marTop w:val="0"/>
          <w:marBottom w:val="0"/>
          <w:divBdr>
            <w:top w:val="none" w:sz="0" w:space="0" w:color="auto"/>
            <w:left w:val="none" w:sz="0" w:space="0" w:color="auto"/>
            <w:bottom w:val="none" w:sz="0" w:space="0" w:color="auto"/>
            <w:right w:val="none" w:sz="0" w:space="0" w:color="auto"/>
          </w:divBdr>
          <w:divsChild>
            <w:div w:id="1370687331">
              <w:marLeft w:val="0"/>
              <w:marRight w:val="0"/>
              <w:marTop w:val="0"/>
              <w:marBottom w:val="0"/>
              <w:divBdr>
                <w:top w:val="none" w:sz="0" w:space="0" w:color="auto"/>
                <w:left w:val="none" w:sz="0" w:space="0" w:color="auto"/>
                <w:bottom w:val="none" w:sz="0" w:space="0" w:color="auto"/>
                <w:right w:val="none" w:sz="0" w:space="0" w:color="auto"/>
              </w:divBdr>
            </w:div>
          </w:divsChild>
        </w:div>
        <w:div w:id="76248382">
          <w:marLeft w:val="0"/>
          <w:marRight w:val="0"/>
          <w:marTop w:val="0"/>
          <w:marBottom w:val="0"/>
          <w:divBdr>
            <w:top w:val="none" w:sz="0" w:space="0" w:color="auto"/>
            <w:left w:val="none" w:sz="0" w:space="0" w:color="auto"/>
            <w:bottom w:val="none" w:sz="0" w:space="0" w:color="auto"/>
            <w:right w:val="none" w:sz="0" w:space="0" w:color="auto"/>
          </w:divBdr>
          <w:divsChild>
            <w:div w:id="1449081443">
              <w:marLeft w:val="0"/>
              <w:marRight w:val="0"/>
              <w:marTop w:val="0"/>
              <w:marBottom w:val="0"/>
              <w:divBdr>
                <w:top w:val="none" w:sz="0" w:space="0" w:color="auto"/>
                <w:left w:val="none" w:sz="0" w:space="0" w:color="auto"/>
                <w:bottom w:val="none" w:sz="0" w:space="0" w:color="auto"/>
                <w:right w:val="none" w:sz="0" w:space="0" w:color="auto"/>
              </w:divBdr>
            </w:div>
          </w:divsChild>
        </w:div>
        <w:div w:id="2037584660">
          <w:marLeft w:val="0"/>
          <w:marRight w:val="0"/>
          <w:marTop w:val="0"/>
          <w:marBottom w:val="0"/>
          <w:divBdr>
            <w:top w:val="none" w:sz="0" w:space="0" w:color="auto"/>
            <w:left w:val="none" w:sz="0" w:space="0" w:color="auto"/>
            <w:bottom w:val="none" w:sz="0" w:space="0" w:color="auto"/>
            <w:right w:val="none" w:sz="0" w:space="0" w:color="auto"/>
          </w:divBdr>
          <w:divsChild>
            <w:div w:id="1690333358">
              <w:marLeft w:val="0"/>
              <w:marRight w:val="0"/>
              <w:marTop w:val="0"/>
              <w:marBottom w:val="0"/>
              <w:divBdr>
                <w:top w:val="none" w:sz="0" w:space="0" w:color="auto"/>
                <w:left w:val="none" w:sz="0" w:space="0" w:color="auto"/>
                <w:bottom w:val="none" w:sz="0" w:space="0" w:color="auto"/>
                <w:right w:val="none" w:sz="0" w:space="0" w:color="auto"/>
              </w:divBdr>
            </w:div>
          </w:divsChild>
        </w:div>
        <w:div w:id="1510368599">
          <w:marLeft w:val="0"/>
          <w:marRight w:val="0"/>
          <w:marTop w:val="0"/>
          <w:marBottom w:val="0"/>
          <w:divBdr>
            <w:top w:val="none" w:sz="0" w:space="0" w:color="auto"/>
            <w:left w:val="none" w:sz="0" w:space="0" w:color="auto"/>
            <w:bottom w:val="none" w:sz="0" w:space="0" w:color="auto"/>
            <w:right w:val="none" w:sz="0" w:space="0" w:color="auto"/>
          </w:divBdr>
        </w:div>
        <w:div w:id="490147374">
          <w:marLeft w:val="0"/>
          <w:marRight w:val="0"/>
          <w:marTop w:val="0"/>
          <w:marBottom w:val="0"/>
          <w:divBdr>
            <w:top w:val="none" w:sz="0" w:space="0" w:color="auto"/>
            <w:left w:val="none" w:sz="0" w:space="0" w:color="auto"/>
            <w:bottom w:val="none" w:sz="0" w:space="0" w:color="auto"/>
            <w:right w:val="none" w:sz="0" w:space="0" w:color="auto"/>
          </w:divBdr>
        </w:div>
        <w:div w:id="591428417">
          <w:marLeft w:val="0"/>
          <w:marRight w:val="0"/>
          <w:marTop w:val="0"/>
          <w:marBottom w:val="0"/>
          <w:divBdr>
            <w:top w:val="none" w:sz="0" w:space="0" w:color="auto"/>
            <w:left w:val="none" w:sz="0" w:space="0" w:color="auto"/>
            <w:bottom w:val="none" w:sz="0" w:space="0" w:color="auto"/>
            <w:right w:val="none" w:sz="0" w:space="0" w:color="auto"/>
          </w:divBdr>
        </w:div>
        <w:div w:id="192237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giao-duc/nghi-dinh-143-2013-nd-cp-chinh-phu-82343-d1.html"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luatvietnam.vn/giao-duc/nghi-dinh-143-2013-nd-cp-chinh-phu-82343-d1.html"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hanh-chinh/luat-ban-hanh-van-ban-quy-pham-phap-luat-sua-doi-2025-so-87-2025-qh15-403951-d1.html" TargetMode="External"/><Relationship Id="rId11" Type="http://schemas.openxmlformats.org/officeDocument/2006/relationships/theme" Target="theme/theme1.xml"/><Relationship Id="rId5" Type="http://schemas.openxmlformats.org/officeDocument/2006/relationships/hyperlink" Target="https://luatvietnam.vn/hanh-chinh/luat-ban-hanh-van-ban-quy-pham-phap-luat-2025-so-64-2025-qh15-391363-d1.html" TargetMode="External"/><Relationship Id="rId10" Type="http://schemas.openxmlformats.org/officeDocument/2006/relationships/fontTable" Target="fontTable.xml"/><Relationship Id="rId4" Type="http://schemas.openxmlformats.org/officeDocument/2006/relationships/hyperlink" Target="https://luatvietnam.vn/co-cau-to-chuc/luat-to-chuc-chinh-phu-2025-so-63-2025-qh15-390451-d1.html" TargetMode="External"/><Relationship Id="rId9" Type="http://schemas.openxmlformats.org/officeDocument/2006/relationships/hyperlink" Target="https://luatvietnam.vn/giao-duc/nghi-dinh-143-2013-nd-cp-chinh-phu-82343-d1.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2AC75-6BFB-4975-86D6-EDFE5087FCB3}"/>
</file>

<file path=customXml/itemProps2.xml><?xml version="1.0" encoding="utf-8"?>
<ds:datastoreItem xmlns:ds="http://schemas.openxmlformats.org/officeDocument/2006/customXml" ds:itemID="{EB17FA75-4743-4CDB-879B-64C219059069}"/>
</file>

<file path=customXml/itemProps3.xml><?xml version="1.0" encoding="utf-8"?>
<ds:datastoreItem xmlns:ds="http://schemas.openxmlformats.org/officeDocument/2006/customXml" ds:itemID="{E2AF4489-93AD-4C05-9078-2D509CD76ED5}"/>
</file>

<file path=docProps/app.xml><?xml version="1.0" encoding="utf-8"?>
<Properties xmlns="http://schemas.openxmlformats.org/officeDocument/2006/extended-properties" xmlns:vt="http://schemas.openxmlformats.org/officeDocument/2006/docPropsVTypes">
  <Template>Normal</Template>
  <TotalTime>2</TotalTime>
  <Pages>5</Pages>
  <Words>1809</Words>
  <Characters>10317</Characters>
  <Application>Microsoft Office Word</Application>
  <DocSecurity>0</DocSecurity>
  <Lines>85</Lines>
  <Paragraphs>24</Paragraphs>
  <ScaleCrop>false</ScaleCrop>
  <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buithithuy_tccb</dc:creator>
  <cp:keywords/>
  <dc:description/>
  <cp:lastModifiedBy>buithithuy_tccb</cp:lastModifiedBy>
  <cp:revision>1</cp:revision>
  <dcterms:created xsi:type="dcterms:W3CDTF">2026-03-19T04:28:00Z</dcterms:created>
  <dcterms:modified xsi:type="dcterms:W3CDTF">2026-03-19T04:30:00Z</dcterms:modified>
</cp:coreProperties>
</file>