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1B1C3" w14:textId="0A18C50D" w:rsidR="00D75221" w:rsidRPr="00A63472" w:rsidRDefault="00D75221" w:rsidP="00D75221">
      <w:pPr>
        <w:widowControl/>
        <w:spacing w:before="120"/>
        <w:jc w:val="center"/>
        <w:rPr>
          <w:rFonts w:ascii="Times New Roman" w:eastAsia="Times New Roman" w:hAnsi="Times New Roman" w:cs="Times New Roman"/>
          <w:b/>
          <w:color w:val="auto"/>
          <w:sz w:val="27"/>
          <w:szCs w:val="27"/>
          <w:lang w:val="en-US" w:eastAsia="en-US"/>
        </w:rPr>
      </w:pPr>
      <w:bookmarkStart w:id="0" w:name="chuong_pl_1"/>
      <w:r w:rsidRPr="00A63472">
        <w:rPr>
          <w:rFonts w:ascii="Times New Roman" w:eastAsia="Times New Roman" w:hAnsi="Times New Roman" w:cs="Times New Roman"/>
          <w:b/>
          <w:bCs/>
          <w:color w:val="auto"/>
          <w:sz w:val="27"/>
          <w:szCs w:val="27"/>
          <w:lang w:val="en-US" w:eastAsia="en-US"/>
        </w:rPr>
        <w:t>PHỤ LỤC</w:t>
      </w:r>
      <w:bookmarkEnd w:id="0"/>
    </w:p>
    <w:p w14:paraId="4FAD70FD" w14:textId="45579F7C" w:rsidR="00D75221" w:rsidRPr="00A63472" w:rsidRDefault="00D75221" w:rsidP="00D75221">
      <w:pPr>
        <w:widowControl/>
        <w:spacing w:before="120"/>
        <w:jc w:val="center"/>
        <w:rPr>
          <w:rFonts w:ascii="Times New Roman" w:eastAsia="Times New Roman" w:hAnsi="Times New Roman" w:cs="Times New Roman"/>
          <w:i/>
          <w:iCs/>
          <w:color w:val="auto"/>
          <w:sz w:val="27"/>
          <w:szCs w:val="27"/>
          <w:lang w:eastAsia="en-US"/>
        </w:rPr>
      </w:pPr>
      <w:bookmarkStart w:id="1" w:name="chuong_pl_1_name"/>
      <w:r w:rsidRPr="00A63472">
        <w:rPr>
          <w:rFonts w:ascii="Times New Roman" w:eastAsia="Times New Roman" w:hAnsi="Times New Roman" w:cs="Times New Roman"/>
          <w:color w:val="auto"/>
          <w:sz w:val="27"/>
          <w:szCs w:val="27"/>
          <w:lang w:val="en-US" w:eastAsia="en-US"/>
        </w:rPr>
        <w:t>BẢNG TIÊU CHÍ ĐÁNH GIÁ, CHẤM ĐIỂM TỔ CHỨC HÀNH NGHỀ ĐẤU GIÁ TÀI SẢN</w:t>
      </w:r>
      <w:bookmarkEnd w:id="1"/>
      <w:r w:rsidRPr="00A63472">
        <w:rPr>
          <w:rFonts w:ascii="Times New Roman" w:eastAsia="Times New Roman" w:hAnsi="Times New Roman" w:cs="Times New Roman"/>
          <w:color w:val="auto"/>
          <w:sz w:val="27"/>
          <w:szCs w:val="27"/>
          <w:lang w:val="en-US" w:eastAsia="en-US"/>
        </w:rPr>
        <w:br/>
      </w:r>
      <w:r w:rsidRPr="00A63472">
        <w:rPr>
          <w:rFonts w:ascii="Times New Roman" w:eastAsia="Times New Roman" w:hAnsi="Times New Roman" w:cs="Times New Roman"/>
          <w:i/>
          <w:iCs/>
          <w:color w:val="auto"/>
          <w:sz w:val="27"/>
          <w:szCs w:val="27"/>
          <w:lang w:val="en-US" w:eastAsia="en-US"/>
        </w:rPr>
        <w:t>(</w:t>
      </w:r>
      <w:r w:rsidR="009113E3" w:rsidRPr="00A63472">
        <w:rPr>
          <w:rFonts w:ascii="Times New Roman" w:eastAsia="Times New Roman" w:hAnsi="Times New Roman" w:cs="Times New Roman"/>
          <w:i/>
          <w:iCs/>
          <w:color w:val="auto"/>
          <w:sz w:val="27"/>
          <w:szCs w:val="27"/>
          <w:lang w:val="en-US" w:eastAsia="en-US"/>
        </w:rPr>
        <w:t>K</w:t>
      </w:r>
      <w:r w:rsidRPr="00A63472">
        <w:rPr>
          <w:rFonts w:ascii="Times New Roman" w:eastAsia="Times New Roman" w:hAnsi="Times New Roman" w:cs="Times New Roman"/>
          <w:i/>
          <w:iCs/>
          <w:color w:val="auto"/>
          <w:sz w:val="27"/>
          <w:szCs w:val="27"/>
          <w:lang w:val="en-US" w:eastAsia="en-US"/>
        </w:rPr>
        <w:t xml:space="preserve">èm theo Thông báo số </w:t>
      </w:r>
      <w:r w:rsidR="00F01DCC" w:rsidRPr="00A63472">
        <w:rPr>
          <w:rFonts w:ascii="Times New Roman" w:eastAsia="Times New Roman" w:hAnsi="Times New Roman" w:cs="Times New Roman"/>
          <w:i/>
          <w:iCs/>
          <w:color w:val="auto"/>
          <w:sz w:val="27"/>
          <w:szCs w:val="27"/>
          <w:lang w:eastAsia="en-US"/>
        </w:rPr>
        <w:t>1065/</w:t>
      </w:r>
      <w:r w:rsidRPr="00A63472">
        <w:rPr>
          <w:rFonts w:ascii="Times New Roman" w:eastAsia="Times New Roman" w:hAnsi="Times New Roman" w:cs="Times New Roman"/>
          <w:i/>
          <w:iCs/>
          <w:color w:val="auto"/>
          <w:sz w:val="27"/>
          <w:szCs w:val="27"/>
          <w:lang w:val="en-US" w:eastAsia="en-US"/>
        </w:rPr>
        <w:t>TB</w:t>
      </w:r>
      <w:r w:rsidR="00F01DCC" w:rsidRPr="00A63472">
        <w:rPr>
          <w:rFonts w:ascii="Times New Roman" w:eastAsia="Times New Roman" w:hAnsi="Times New Roman" w:cs="Times New Roman"/>
          <w:i/>
          <w:iCs/>
          <w:color w:val="auto"/>
          <w:sz w:val="27"/>
          <w:szCs w:val="27"/>
          <w:lang w:eastAsia="en-US"/>
        </w:rPr>
        <w:t>-THADS.KV8</w:t>
      </w:r>
      <w:r w:rsidRPr="00A63472">
        <w:rPr>
          <w:rFonts w:ascii="Times New Roman" w:eastAsia="Times New Roman" w:hAnsi="Times New Roman" w:cs="Times New Roman"/>
          <w:i/>
          <w:iCs/>
          <w:color w:val="auto"/>
          <w:sz w:val="27"/>
          <w:szCs w:val="27"/>
          <w:lang w:val="en-US" w:eastAsia="en-US"/>
        </w:rPr>
        <w:t xml:space="preserve"> ngày </w:t>
      </w:r>
      <w:r w:rsidR="00F01DCC" w:rsidRPr="00A63472">
        <w:rPr>
          <w:rFonts w:ascii="Times New Roman" w:eastAsia="Times New Roman" w:hAnsi="Times New Roman" w:cs="Times New Roman"/>
          <w:i/>
          <w:iCs/>
          <w:color w:val="auto"/>
          <w:sz w:val="27"/>
          <w:szCs w:val="27"/>
          <w:lang w:eastAsia="en-US"/>
        </w:rPr>
        <w:t xml:space="preserve">28/4/2026 </w:t>
      </w:r>
      <w:r w:rsidRPr="00A63472">
        <w:rPr>
          <w:rFonts w:ascii="Times New Roman" w:eastAsia="Times New Roman" w:hAnsi="Times New Roman" w:cs="Times New Roman"/>
          <w:i/>
          <w:iCs/>
          <w:color w:val="auto"/>
          <w:sz w:val="27"/>
          <w:szCs w:val="27"/>
          <w:lang w:val="en-US" w:eastAsia="en-US"/>
        </w:rPr>
        <w:t xml:space="preserve">của </w:t>
      </w:r>
      <w:r w:rsidR="00F01DCC" w:rsidRPr="00A63472">
        <w:rPr>
          <w:rFonts w:ascii="Times New Roman" w:eastAsia="Times New Roman" w:hAnsi="Times New Roman" w:cs="Times New Roman"/>
          <w:i/>
          <w:iCs/>
          <w:color w:val="auto"/>
          <w:sz w:val="27"/>
          <w:szCs w:val="27"/>
          <w:lang w:val="en-US" w:eastAsia="en-US"/>
        </w:rPr>
        <w:t>Thi</w:t>
      </w:r>
      <w:r w:rsidR="00F01DCC" w:rsidRPr="00A63472">
        <w:rPr>
          <w:rFonts w:ascii="Times New Roman" w:eastAsia="Times New Roman" w:hAnsi="Times New Roman" w:cs="Times New Roman"/>
          <w:i/>
          <w:iCs/>
          <w:color w:val="auto"/>
          <w:sz w:val="27"/>
          <w:szCs w:val="27"/>
          <w:lang w:eastAsia="en-US"/>
        </w:rPr>
        <w:t xml:space="preserve"> hành án dân sự tỉnh Phú Thọ)</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56"/>
        <w:gridCol w:w="7538"/>
        <w:gridCol w:w="1154"/>
      </w:tblGrid>
      <w:tr w:rsidR="00D75221" w:rsidRPr="00A63472" w14:paraId="0640C3FF" w14:textId="77777777" w:rsidTr="009D4BB0">
        <w:tc>
          <w:tcPr>
            <w:tcW w:w="351" w:type="pct"/>
            <w:shd w:val="clear" w:color="auto" w:fill="FFFFFF"/>
            <w:vAlign w:val="center"/>
          </w:tcPr>
          <w:p w14:paraId="4BD46A02"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TT</w:t>
            </w:r>
          </w:p>
        </w:tc>
        <w:tc>
          <w:tcPr>
            <w:tcW w:w="4032" w:type="pct"/>
            <w:shd w:val="clear" w:color="auto" w:fill="FFFFFF"/>
            <w:vAlign w:val="center"/>
          </w:tcPr>
          <w:p w14:paraId="2EF3AF3C"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NỘI DUNG</w:t>
            </w:r>
          </w:p>
        </w:tc>
        <w:tc>
          <w:tcPr>
            <w:tcW w:w="617" w:type="pct"/>
            <w:shd w:val="clear" w:color="auto" w:fill="FFFFFF"/>
            <w:vAlign w:val="center"/>
          </w:tcPr>
          <w:p w14:paraId="559668D6"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MỨC TỐI ĐA</w:t>
            </w:r>
          </w:p>
        </w:tc>
      </w:tr>
      <w:tr w:rsidR="00D75221" w:rsidRPr="00A63472" w14:paraId="24201C28" w14:textId="77777777" w:rsidTr="009D4BB0">
        <w:tc>
          <w:tcPr>
            <w:tcW w:w="351" w:type="pct"/>
            <w:shd w:val="clear" w:color="auto" w:fill="FFFFFF"/>
            <w:vAlign w:val="center"/>
          </w:tcPr>
          <w:p w14:paraId="7DABB07A"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I</w:t>
            </w:r>
          </w:p>
        </w:tc>
        <w:tc>
          <w:tcPr>
            <w:tcW w:w="4032" w:type="pct"/>
            <w:shd w:val="clear" w:color="auto" w:fill="FFFFFF"/>
            <w:vAlign w:val="center"/>
          </w:tcPr>
          <w:p w14:paraId="3E9E23EB"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Có tên trong danh sách các tổ chức hành nghề đấu giá tài sản do Bộ Tư pháp công bố</w:t>
            </w:r>
          </w:p>
        </w:tc>
        <w:tc>
          <w:tcPr>
            <w:tcW w:w="617" w:type="pct"/>
            <w:shd w:val="clear" w:color="auto" w:fill="FFFFFF"/>
            <w:vAlign w:val="center"/>
          </w:tcPr>
          <w:p w14:paraId="53D4C1EA"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p>
        </w:tc>
      </w:tr>
      <w:tr w:rsidR="00D75221" w:rsidRPr="00A63472" w14:paraId="458702DB" w14:textId="77777777" w:rsidTr="009D4BB0">
        <w:tc>
          <w:tcPr>
            <w:tcW w:w="351" w:type="pct"/>
            <w:shd w:val="clear" w:color="auto" w:fill="FFFFFF"/>
            <w:vAlign w:val="center"/>
          </w:tcPr>
          <w:p w14:paraId="7EE4DE7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1.</w:t>
            </w:r>
          </w:p>
        </w:tc>
        <w:tc>
          <w:tcPr>
            <w:tcW w:w="4032" w:type="pct"/>
            <w:shd w:val="clear" w:color="auto" w:fill="FFFFFF"/>
            <w:vAlign w:val="center"/>
          </w:tcPr>
          <w:p w14:paraId="2D3703A0"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Có tên trong danh sách tổ chức hành nghề đấu giá tài sản do Bộ Tư pháp công bố</w:t>
            </w:r>
          </w:p>
        </w:tc>
        <w:tc>
          <w:tcPr>
            <w:tcW w:w="617" w:type="pct"/>
            <w:shd w:val="clear" w:color="auto" w:fill="FFFFFF"/>
            <w:vAlign w:val="center"/>
          </w:tcPr>
          <w:p w14:paraId="3292D1CA"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Đủ điều kiện</w:t>
            </w:r>
          </w:p>
        </w:tc>
      </w:tr>
      <w:tr w:rsidR="00D75221" w:rsidRPr="00A63472" w14:paraId="78970F1B" w14:textId="77777777" w:rsidTr="009D4BB0">
        <w:tc>
          <w:tcPr>
            <w:tcW w:w="351" w:type="pct"/>
            <w:shd w:val="clear" w:color="auto" w:fill="FFFFFF"/>
            <w:vAlign w:val="center"/>
          </w:tcPr>
          <w:p w14:paraId="6785688B"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2.</w:t>
            </w:r>
          </w:p>
        </w:tc>
        <w:tc>
          <w:tcPr>
            <w:tcW w:w="4032" w:type="pct"/>
            <w:shd w:val="clear" w:color="auto" w:fill="FFFFFF"/>
            <w:vAlign w:val="center"/>
          </w:tcPr>
          <w:p w14:paraId="0408864C"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Không có tên trong danh sách tổ chức hành nghề đấu giá tài sản do Bộ Tư pháp công bố</w:t>
            </w:r>
          </w:p>
        </w:tc>
        <w:tc>
          <w:tcPr>
            <w:tcW w:w="617" w:type="pct"/>
            <w:shd w:val="clear" w:color="auto" w:fill="FFFFFF"/>
            <w:vAlign w:val="center"/>
          </w:tcPr>
          <w:p w14:paraId="5614D75E"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Không đủ điều kiện</w:t>
            </w:r>
          </w:p>
        </w:tc>
      </w:tr>
      <w:tr w:rsidR="00D75221" w:rsidRPr="00A63472" w14:paraId="4A04C16F" w14:textId="77777777" w:rsidTr="009D4BB0">
        <w:tc>
          <w:tcPr>
            <w:tcW w:w="351" w:type="pct"/>
            <w:shd w:val="clear" w:color="auto" w:fill="FFFFFF"/>
            <w:vAlign w:val="center"/>
          </w:tcPr>
          <w:p w14:paraId="562B7678"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II</w:t>
            </w:r>
          </w:p>
        </w:tc>
        <w:tc>
          <w:tcPr>
            <w:tcW w:w="4032" w:type="pct"/>
            <w:shd w:val="clear" w:color="auto" w:fill="FFFFFF"/>
            <w:vAlign w:val="center"/>
          </w:tcPr>
          <w:p w14:paraId="5C6CB694"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Cơ sở vật chất, trang thiết bị cần thiết bảo đảm cho việc đấu giá đối với loại tài sản đấu giá</w:t>
            </w:r>
          </w:p>
        </w:tc>
        <w:tc>
          <w:tcPr>
            <w:tcW w:w="617" w:type="pct"/>
            <w:shd w:val="clear" w:color="auto" w:fill="FFFFFF"/>
            <w:vAlign w:val="center"/>
          </w:tcPr>
          <w:p w14:paraId="51A53590"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19,0</w:t>
            </w:r>
          </w:p>
        </w:tc>
      </w:tr>
      <w:tr w:rsidR="00D75221" w:rsidRPr="00A63472" w14:paraId="624D4492" w14:textId="77777777" w:rsidTr="009D4BB0">
        <w:tc>
          <w:tcPr>
            <w:tcW w:w="351" w:type="pct"/>
            <w:shd w:val="clear" w:color="auto" w:fill="FFFFFF"/>
            <w:vAlign w:val="center"/>
          </w:tcPr>
          <w:p w14:paraId="337D9D49" w14:textId="77777777" w:rsidR="00D75221" w:rsidRPr="00A63472" w:rsidRDefault="00D75221" w:rsidP="009D4BB0">
            <w:pPr>
              <w:widowControl/>
              <w:spacing w:before="120"/>
              <w:jc w:val="center"/>
              <w:rPr>
                <w:rFonts w:ascii="Times New Roman" w:eastAsia="Times New Roman" w:hAnsi="Times New Roman" w:cs="Times New Roman"/>
                <w:b/>
                <w:i/>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1</w:t>
            </w:r>
            <w:r w:rsidRPr="00A63472">
              <w:rPr>
                <w:rFonts w:ascii="Times New Roman" w:eastAsia="Times New Roman" w:hAnsi="Times New Roman" w:cs="Times New Roman"/>
                <w:b/>
                <w:i/>
                <w:iCs/>
                <w:color w:val="auto"/>
                <w:sz w:val="27"/>
                <w:szCs w:val="27"/>
                <w:lang w:val="en-US" w:eastAsia="en-US"/>
              </w:rPr>
              <w:t>.</w:t>
            </w:r>
          </w:p>
        </w:tc>
        <w:tc>
          <w:tcPr>
            <w:tcW w:w="4032" w:type="pct"/>
            <w:shd w:val="clear" w:color="auto" w:fill="FFFFFF"/>
            <w:vAlign w:val="center"/>
          </w:tcPr>
          <w:p w14:paraId="7507CAD0"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Cơ sở vật chất bảo đảm cho việc đấu giá</w:t>
            </w:r>
          </w:p>
        </w:tc>
        <w:tc>
          <w:tcPr>
            <w:tcW w:w="617" w:type="pct"/>
            <w:shd w:val="clear" w:color="auto" w:fill="FFFFFF"/>
            <w:vAlign w:val="center"/>
          </w:tcPr>
          <w:p w14:paraId="46FC90D6"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10,0</w:t>
            </w:r>
          </w:p>
        </w:tc>
      </w:tr>
      <w:tr w:rsidR="00D75221" w:rsidRPr="00A63472" w14:paraId="44DFDA9F" w14:textId="77777777" w:rsidTr="009D4BB0">
        <w:tc>
          <w:tcPr>
            <w:tcW w:w="351" w:type="pct"/>
            <w:shd w:val="clear" w:color="auto" w:fill="FFFFFF"/>
            <w:vAlign w:val="center"/>
          </w:tcPr>
          <w:p w14:paraId="494C8548"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1.1</w:t>
            </w:r>
          </w:p>
        </w:tc>
        <w:tc>
          <w:tcPr>
            <w:tcW w:w="4032" w:type="pct"/>
            <w:shd w:val="clear" w:color="auto" w:fill="FFFFFF"/>
            <w:vAlign w:val="center"/>
          </w:tcPr>
          <w:p w14:paraId="17A1F8BF"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Có địa chỉ trụ sở ổn định, rõ ràng (số điện thoại, địa chỉ thư điện tử...), trụ sở có đủ diện tích làm việc</w:t>
            </w:r>
          </w:p>
        </w:tc>
        <w:tc>
          <w:tcPr>
            <w:tcW w:w="617" w:type="pct"/>
            <w:shd w:val="clear" w:color="auto" w:fill="FFFFFF"/>
            <w:vAlign w:val="center"/>
          </w:tcPr>
          <w:p w14:paraId="3BD065D8"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5,0</w:t>
            </w:r>
          </w:p>
        </w:tc>
      </w:tr>
      <w:tr w:rsidR="00D75221" w:rsidRPr="00A63472" w14:paraId="183BACE0" w14:textId="77777777" w:rsidTr="009D4BB0">
        <w:tc>
          <w:tcPr>
            <w:tcW w:w="351" w:type="pct"/>
            <w:shd w:val="clear" w:color="auto" w:fill="FFFFFF"/>
            <w:vAlign w:val="center"/>
          </w:tcPr>
          <w:p w14:paraId="5AD2E6B8"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1.2</w:t>
            </w:r>
          </w:p>
        </w:tc>
        <w:tc>
          <w:tcPr>
            <w:tcW w:w="4032" w:type="pct"/>
            <w:shd w:val="clear" w:color="auto" w:fill="FFFFFF"/>
            <w:vAlign w:val="center"/>
          </w:tcPr>
          <w:p w14:paraId="67E9FC54"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Địa điểm bán, tiếp nhận hồ sơ tham gia đấu giá công khai, thuận tiện</w:t>
            </w:r>
          </w:p>
        </w:tc>
        <w:tc>
          <w:tcPr>
            <w:tcW w:w="617" w:type="pct"/>
            <w:shd w:val="clear" w:color="auto" w:fill="FFFFFF"/>
            <w:vAlign w:val="center"/>
          </w:tcPr>
          <w:p w14:paraId="16821A67"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5,0</w:t>
            </w:r>
          </w:p>
        </w:tc>
      </w:tr>
      <w:tr w:rsidR="00D75221" w:rsidRPr="00A63472" w14:paraId="320E36BC" w14:textId="77777777" w:rsidTr="009D4BB0">
        <w:tc>
          <w:tcPr>
            <w:tcW w:w="351" w:type="pct"/>
            <w:shd w:val="clear" w:color="auto" w:fill="FFFFFF"/>
            <w:vAlign w:val="center"/>
          </w:tcPr>
          <w:p w14:paraId="4463BD7B" w14:textId="77777777" w:rsidR="00D75221" w:rsidRPr="00A63472" w:rsidRDefault="00D75221" w:rsidP="009D4BB0">
            <w:pPr>
              <w:widowControl/>
              <w:spacing w:before="120"/>
              <w:jc w:val="center"/>
              <w:rPr>
                <w:rFonts w:ascii="Times New Roman" w:eastAsia="Times New Roman" w:hAnsi="Times New Roman" w:cs="Times New Roman"/>
                <w:b/>
                <w:i/>
                <w:color w:val="auto"/>
                <w:sz w:val="27"/>
                <w:szCs w:val="27"/>
                <w:lang w:val="en-US" w:eastAsia="en-US"/>
              </w:rPr>
            </w:pPr>
            <w:r w:rsidRPr="00A63472">
              <w:rPr>
                <w:rFonts w:ascii="Times New Roman" w:eastAsia="Times New Roman" w:hAnsi="Times New Roman" w:cs="Times New Roman"/>
                <w:b/>
                <w:i/>
                <w:iCs/>
                <w:color w:val="auto"/>
                <w:sz w:val="27"/>
                <w:szCs w:val="27"/>
                <w:lang w:val="en-US" w:eastAsia="en-US"/>
              </w:rPr>
              <w:t>2.</w:t>
            </w:r>
          </w:p>
        </w:tc>
        <w:tc>
          <w:tcPr>
            <w:tcW w:w="4032" w:type="pct"/>
            <w:shd w:val="clear" w:color="auto" w:fill="FFFFFF"/>
            <w:vAlign w:val="center"/>
          </w:tcPr>
          <w:p w14:paraId="4168E2B0"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Trang thiết bị cần thiết bảo đảm cho việc đấu giá</w:t>
            </w:r>
          </w:p>
        </w:tc>
        <w:tc>
          <w:tcPr>
            <w:tcW w:w="617" w:type="pct"/>
            <w:shd w:val="clear" w:color="auto" w:fill="FFFFFF"/>
            <w:vAlign w:val="center"/>
          </w:tcPr>
          <w:p w14:paraId="6FCD4CF5" w14:textId="77777777" w:rsidR="00D75221" w:rsidRPr="00A63472" w:rsidRDefault="00D75221" w:rsidP="009D4BB0">
            <w:pPr>
              <w:widowControl/>
              <w:spacing w:before="120"/>
              <w:jc w:val="center"/>
              <w:rPr>
                <w:rFonts w:ascii="Times New Roman" w:eastAsia="Times New Roman" w:hAnsi="Times New Roman" w:cs="Times New Roman"/>
                <w:b/>
                <w:i/>
                <w:color w:val="auto"/>
                <w:sz w:val="27"/>
                <w:szCs w:val="27"/>
                <w:lang w:val="en-US" w:eastAsia="en-US"/>
              </w:rPr>
            </w:pPr>
            <w:r w:rsidRPr="00A63472">
              <w:rPr>
                <w:rFonts w:ascii="Times New Roman" w:eastAsia="Times New Roman" w:hAnsi="Times New Roman" w:cs="Times New Roman"/>
                <w:b/>
                <w:i/>
                <w:iCs/>
                <w:color w:val="auto"/>
                <w:sz w:val="27"/>
                <w:szCs w:val="27"/>
                <w:lang w:val="en-US" w:eastAsia="en-US"/>
              </w:rPr>
              <w:t>5,0</w:t>
            </w:r>
          </w:p>
        </w:tc>
      </w:tr>
      <w:tr w:rsidR="00D75221" w:rsidRPr="00A63472" w14:paraId="672D2FF3" w14:textId="77777777" w:rsidTr="009D4BB0">
        <w:tc>
          <w:tcPr>
            <w:tcW w:w="351" w:type="pct"/>
            <w:shd w:val="clear" w:color="auto" w:fill="FFFFFF"/>
            <w:vAlign w:val="center"/>
          </w:tcPr>
          <w:p w14:paraId="66569B2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2.1</w:t>
            </w:r>
          </w:p>
        </w:tc>
        <w:tc>
          <w:tcPr>
            <w:tcW w:w="4032" w:type="pct"/>
            <w:shd w:val="clear" w:color="auto" w:fill="FFFFFF"/>
            <w:vAlign w:val="center"/>
          </w:tcPr>
          <w:p w14:paraId="238AB3E8"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Có hệ thống camera giám sát hoặc thiết bị ghi hình tại trụ sở tổ chức hành nghề đấu giá tài sản khi bán, tiếp nhận hồ sơ tham gia đấu giá (có thể được trích xuất, lưu theo hồ sơ đấu giá)</w:t>
            </w:r>
          </w:p>
        </w:tc>
        <w:tc>
          <w:tcPr>
            <w:tcW w:w="617" w:type="pct"/>
            <w:shd w:val="clear" w:color="auto" w:fill="FFFFFF"/>
            <w:vAlign w:val="center"/>
          </w:tcPr>
          <w:p w14:paraId="1B24A07A"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2,0</w:t>
            </w:r>
          </w:p>
        </w:tc>
      </w:tr>
      <w:tr w:rsidR="00D75221" w:rsidRPr="00A63472" w14:paraId="78D96280" w14:textId="77777777" w:rsidTr="009D4BB0">
        <w:tc>
          <w:tcPr>
            <w:tcW w:w="351" w:type="pct"/>
            <w:shd w:val="clear" w:color="auto" w:fill="FFFFFF"/>
            <w:vAlign w:val="center"/>
          </w:tcPr>
          <w:p w14:paraId="4B956FFE"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2.2</w:t>
            </w:r>
          </w:p>
        </w:tc>
        <w:tc>
          <w:tcPr>
            <w:tcW w:w="4032" w:type="pct"/>
            <w:shd w:val="clear" w:color="auto" w:fill="FFFFFF"/>
            <w:vAlign w:val="center"/>
          </w:tcPr>
          <w:p w14:paraId="3EF640A2"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Có hệ thống camera giám sát hoặc thiết bị ghi hình tại nơi tổ chức phiên đấu giá (được trích xuất, lưu theo hồ sơ đấu giá)</w:t>
            </w:r>
          </w:p>
        </w:tc>
        <w:tc>
          <w:tcPr>
            <w:tcW w:w="617" w:type="pct"/>
            <w:shd w:val="clear" w:color="auto" w:fill="FFFFFF"/>
            <w:vAlign w:val="center"/>
          </w:tcPr>
          <w:p w14:paraId="081A6D22"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3,0</w:t>
            </w:r>
          </w:p>
        </w:tc>
      </w:tr>
      <w:tr w:rsidR="00D75221" w:rsidRPr="00A63472" w14:paraId="7FAC335F" w14:textId="77777777" w:rsidTr="009D4BB0">
        <w:tc>
          <w:tcPr>
            <w:tcW w:w="351" w:type="pct"/>
            <w:shd w:val="clear" w:color="auto" w:fill="FFFFFF"/>
            <w:vAlign w:val="center"/>
          </w:tcPr>
          <w:p w14:paraId="46A4CEB2"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3.</w:t>
            </w:r>
          </w:p>
        </w:tc>
        <w:tc>
          <w:tcPr>
            <w:tcW w:w="4032" w:type="pct"/>
            <w:shd w:val="clear" w:color="auto" w:fill="FFFFFF"/>
            <w:vAlign w:val="center"/>
          </w:tcPr>
          <w:p w14:paraId="3B9A68CB"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Có trang thông tin điện tử của tổ chức hành nghề đấu giá tài sản đang hoạt động ổn định, được cập nhật thường xuyên</w:t>
            </w:r>
          </w:p>
          <w:p w14:paraId="2DB2FD54"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Cs/>
                <w:i/>
                <w:iCs/>
                <w:color w:val="auto"/>
                <w:sz w:val="27"/>
                <w:szCs w:val="27"/>
                <w:lang w:val="en-US" w:eastAsia="en-US"/>
              </w:rPr>
              <w:t>Đối với Trung tâm dịch vụ đấu giá tài sản thì dùng Trang thông tin điện tử độc lập hoặc Trang thông tin thuộc Cổng Thông tin điện tử của Sở Tư pháp</w:t>
            </w:r>
          </w:p>
        </w:tc>
        <w:tc>
          <w:tcPr>
            <w:tcW w:w="617" w:type="pct"/>
            <w:shd w:val="clear" w:color="auto" w:fill="FFFFFF"/>
            <w:vAlign w:val="center"/>
          </w:tcPr>
          <w:p w14:paraId="46AD413A"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2,0</w:t>
            </w:r>
          </w:p>
        </w:tc>
      </w:tr>
      <w:tr w:rsidR="00D75221" w:rsidRPr="00A63472" w14:paraId="4DF6C444" w14:textId="77777777" w:rsidTr="009D4BB0">
        <w:tc>
          <w:tcPr>
            <w:tcW w:w="351" w:type="pct"/>
            <w:shd w:val="clear" w:color="auto" w:fill="FFFFFF"/>
            <w:vAlign w:val="center"/>
          </w:tcPr>
          <w:p w14:paraId="0C3BB388"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4.</w:t>
            </w:r>
          </w:p>
        </w:tc>
        <w:tc>
          <w:tcPr>
            <w:tcW w:w="4032" w:type="pct"/>
            <w:shd w:val="clear" w:color="auto" w:fill="FFFFFF"/>
            <w:vAlign w:val="center"/>
          </w:tcPr>
          <w:p w14:paraId="69633129"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Có Trang thông tin đấu giá trực tuyến được phê duyệt hoặc trong năm trước liền kề đã thực hiện ít nhất 01 cuộc đấu giá bằng hình thức trực tuyến</w:t>
            </w:r>
          </w:p>
        </w:tc>
        <w:tc>
          <w:tcPr>
            <w:tcW w:w="617" w:type="pct"/>
            <w:shd w:val="clear" w:color="auto" w:fill="FFFFFF"/>
            <w:vAlign w:val="center"/>
          </w:tcPr>
          <w:p w14:paraId="1D61DA0C"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1,0</w:t>
            </w:r>
          </w:p>
        </w:tc>
      </w:tr>
      <w:tr w:rsidR="00D75221" w:rsidRPr="00A63472" w14:paraId="1C978D30" w14:textId="77777777" w:rsidTr="009D4BB0">
        <w:tc>
          <w:tcPr>
            <w:tcW w:w="351" w:type="pct"/>
            <w:shd w:val="clear" w:color="auto" w:fill="FFFFFF"/>
            <w:vAlign w:val="center"/>
          </w:tcPr>
          <w:p w14:paraId="0ED4509A" w14:textId="77777777" w:rsidR="00D75221" w:rsidRPr="00A63472" w:rsidRDefault="00D75221" w:rsidP="009D4BB0">
            <w:pPr>
              <w:widowControl/>
              <w:spacing w:before="120"/>
              <w:jc w:val="center"/>
              <w:rPr>
                <w:rFonts w:ascii="Times New Roman" w:eastAsia="Times New Roman" w:hAnsi="Times New Roman" w:cs="Times New Roman"/>
                <w:b/>
                <w:i/>
                <w:color w:val="auto"/>
                <w:sz w:val="27"/>
                <w:szCs w:val="27"/>
                <w:lang w:val="en-US" w:eastAsia="en-US"/>
              </w:rPr>
            </w:pPr>
            <w:r w:rsidRPr="00A63472">
              <w:rPr>
                <w:rFonts w:ascii="Times New Roman" w:eastAsia="Times New Roman" w:hAnsi="Times New Roman" w:cs="Times New Roman"/>
                <w:b/>
                <w:bCs/>
                <w:i/>
                <w:color w:val="auto"/>
                <w:sz w:val="27"/>
                <w:szCs w:val="27"/>
                <w:lang w:val="en-US" w:eastAsia="en-US"/>
              </w:rPr>
              <w:t>5.</w:t>
            </w:r>
          </w:p>
        </w:tc>
        <w:tc>
          <w:tcPr>
            <w:tcW w:w="4032" w:type="pct"/>
            <w:shd w:val="clear" w:color="auto" w:fill="FFFFFF"/>
            <w:vAlign w:val="center"/>
          </w:tcPr>
          <w:p w14:paraId="0224ED01"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Có nơi lưu trữ hồ sơ đấu giá</w:t>
            </w:r>
          </w:p>
        </w:tc>
        <w:tc>
          <w:tcPr>
            <w:tcW w:w="617" w:type="pct"/>
            <w:shd w:val="clear" w:color="auto" w:fill="FFFFFF"/>
            <w:vAlign w:val="center"/>
          </w:tcPr>
          <w:p w14:paraId="5DA4F6A9"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1,0</w:t>
            </w:r>
          </w:p>
        </w:tc>
      </w:tr>
      <w:tr w:rsidR="00D75221" w:rsidRPr="00A63472" w14:paraId="3771EC58" w14:textId="77777777" w:rsidTr="009D4BB0">
        <w:tc>
          <w:tcPr>
            <w:tcW w:w="351" w:type="pct"/>
            <w:shd w:val="clear" w:color="auto" w:fill="FFFFFF"/>
            <w:vAlign w:val="center"/>
          </w:tcPr>
          <w:p w14:paraId="7D10221B"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Ill</w:t>
            </w:r>
          </w:p>
        </w:tc>
        <w:tc>
          <w:tcPr>
            <w:tcW w:w="4032" w:type="pct"/>
            <w:shd w:val="clear" w:color="auto" w:fill="FFFFFF"/>
            <w:vAlign w:val="center"/>
          </w:tcPr>
          <w:p w14:paraId="6EF9646F"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 xml:space="preserve">Phương án đấu giá khả thi, hiệu quả </w:t>
            </w:r>
            <w:r w:rsidRPr="00A63472">
              <w:rPr>
                <w:rFonts w:ascii="Times New Roman" w:eastAsia="Times New Roman" w:hAnsi="Times New Roman" w:cs="Times New Roman"/>
                <w:i/>
                <w:iCs/>
                <w:color w:val="auto"/>
                <w:sz w:val="27"/>
                <w:szCs w:val="27"/>
                <w:lang w:val="en-US" w:eastAsia="en-US"/>
              </w:rPr>
              <w:t>(Thuyết minh đầy đủ các nội dung trong phương án)</w:t>
            </w:r>
          </w:p>
        </w:tc>
        <w:tc>
          <w:tcPr>
            <w:tcW w:w="617" w:type="pct"/>
            <w:shd w:val="clear" w:color="auto" w:fill="FFFFFF"/>
            <w:vAlign w:val="center"/>
          </w:tcPr>
          <w:p w14:paraId="708EF5A0"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16,0</w:t>
            </w:r>
          </w:p>
        </w:tc>
      </w:tr>
      <w:tr w:rsidR="00D75221" w:rsidRPr="00A63472" w14:paraId="0AA558AF" w14:textId="77777777" w:rsidTr="009D4BB0">
        <w:tc>
          <w:tcPr>
            <w:tcW w:w="351" w:type="pct"/>
            <w:shd w:val="clear" w:color="auto" w:fill="FFFFFF"/>
            <w:vAlign w:val="center"/>
          </w:tcPr>
          <w:p w14:paraId="2884B121" w14:textId="77777777" w:rsidR="00D75221" w:rsidRPr="00A63472" w:rsidRDefault="00D75221" w:rsidP="009D4BB0">
            <w:pPr>
              <w:widowControl/>
              <w:spacing w:before="120"/>
              <w:jc w:val="center"/>
              <w:rPr>
                <w:rFonts w:ascii="Times New Roman" w:eastAsia="Times New Roman" w:hAnsi="Times New Roman" w:cs="Times New Roman"/>
                <w:b/>
                <w:i/>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1</w:t>
            </w:r>
            <w:r w:rsidRPr="00A63472">
              <w:rPr>
                <w:rFonts w:ascii="Times New Roman" w:eastAsia="Times New Roman" w:hAnsi="Times New Roman" w:cs="Times New Roman"/>
                <w:b/>
                <w:i/>
                <w:iCs/>
                <w:color w:val="auto"/>
                <w:sz w:val="27"/>
                <w:szCs w:val="27"/>
                <w:lang w:val="en-US" w:eastAsia="en-US"/>
              </w:rPr>
              <w:t>.</w:t>
            </w:r>
          </w:p>
        </w:tc>
        <w:tc>
          <w:tcPr>
            <w:tcW w:w="4032" w:type="pct"/>
            <w:shd w:val="clear" w:color="auto" w:fill="FFFFFF"/>
            <w:vAlign w:val="center"/>
          </w:tcPr>
          <w:p w14:paraId="058C0B92"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Phương án đấu giá đề xuất được hình thức đấu giá, bước giá, số vòng đấu giá có tính khả thi và hiệu quả cao</w:t>
            </w:r>
          </w:p>
        </w:tc>
        <w:tc>
          <w:tcPr>
            <w:tcW w:w="617" w:type="pct"/>
            <w:shd w:val="clear" w:color="auto" w:fill="FFFFFF"/>
            <w:vAlign w:val="center"/>
          </w:tcPr>
          <w:p w14:paraId="68A48593"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4,0</w:t>
            </w:r>
          </w:p>
        </w:tc>
      </w:tr>
      <w:tr w:rsidR="00D75221" w:rsidRPr="00A63472" w14:paraId="4778D99C" w14:textId="77777777" w:rsidTr="009D4BB0">
        <w:tc>
          <w:tcPr>
            <w:tcW w:w="351" w:type="pct"/>
            <w:shd w:val="clear" w:color="auto" w:fill="FFFFFF"/>
            <w:vAlign w:val="center"/>
          </w:tcPr>
          <w:p w14:paraId="0447E3DB"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lastRenderedPageBreak/>
              <w:t>1.1</w:t>
            </w:r>
          </w:p>
        </w:tc>
        <w:tc>
          <w:tcPr>
            <w:tcW w:w="4032" w:type="pct"/>
            <w:shd w:val="clear" w:color="auto" w:fill="FFFFFF"/>
            <w:vAlign w:val="center"/>
          </w:tcPr>
          <w:p w14:paraId="54FCF776"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Hình thức đấu giá khả thi, hiệu quả</w:t>
            </w:r>
          </w:p>
        </w:tc>
        <w:tc>
          <w:tcPr>
            <w:tcW w:w="617" w:type="pct"/>
            <w:shd w:val="clear" w:color="auto" w:fill="FFFFFF"/>
            <w:vAlign w:val="center"/>
          </w:tcPr>
          <w:p w14:paraId="07AE5ED6"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2,0</w:t>
            </w:r>
          </w:p>
        </w:tc>
      </w:tr>
      <w:tr w:rsidR="00D75221" w:rsidRPr="00A63472" w14:paraId="4E0A42B4" w14:textId="77777777" w:rsidTr="009D4BB0">
        <w:tc>
          <w:tcPr>
            <w:tcW w:w="351" w:type="pct"/>
            <w:shd w:val="clear" w:color="auto" w:fill="FFFFFF"/>
            <w:vAlign w:val="center"/>
          </w:tcPr>
          <w:p w14:paraId="02411369"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1.2</w:t>
            </w:r>
          </w:p>
        </w:tc>
        <w:tc>
          <w:tcPr>
            <w:tcW w:w="4032" w:type="pct"/>
            <w:shd w:val="clear" w:color="auto" w:fill="FFFFFF"/>
            <w:vAlign w:val="center"/>
          </w:tcPr>
          <w:p w14:paraId="15925F8A"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Bước giá, số vòng đấu giá khả thi, hiệu quả</w:t>
            </w:r>
          </w:p>
        </w:tc>
        <w:tc>
          <w:tcPr>
            <w:tcW w:w="617" w:type="pct"/>
            <w:shd w:val="clear" w:color="auto" w:fill="FFFFFF"/>
            <w:vAlign w:val="center"/>
          </w:tcPr>
          <w:p w14:paraId="2B67F40C"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2,0</w:t>
            </w:r>
          </w:p>
        </w:tc>
      </w:tr>
      <w:tr w:rsidR="00D75221" w:rsidRPr="00A63472" w14:paraId="0BA42662" w14:textId="77777777" w:rsidTr="009D4BB0">
        <w:tc>
          <w:tcPr>
            <w:tcW w:w="351" w:type="pct"/>
            <w:shd w:val="clear" w:color="auto" w:fill="FFFFFF"/>
            <w:vAlign w:val="center"/>
          </w:tcPr>
          <w:p w14:paraId="7AADE521"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2.</w:t>
            </w:r>
          </w:p>
        </w:tc>
        <w:tc>
          <w:tcPr>
            <w:tcW w:w="4032" w:type="pct"/>
            <w:shd w:val="clear" w:color="auto" w:fill="FFFFFF"/>
            <w:vAlign w:val="center"/>
          </w:tcPr>
          <w:p w14:paraId="7C3C18D9"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Phương án đấu giá đề xuất việc bán, tiếp nhận hồ sơ tham gia đấu giá công khai, khả thi, thuận tiện (địa điểm, phương thức bán, tiếp nhận hồ sơ)</w:t>
            </w:r>
          </w:p>
        </w:tc>
        <w:tc>
          <w:tcPr>
            <w:tcW w:w="617" w:type="pct"/>
            <w:shd w:val="clear" w:color="auto" w:fill="FFFFFF"/>
            <w:vAlign w:val="center"/>
          </w:tcPr>
          <w:p w14:paraId="28923265"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4,0</w:t>
            </w:r>
          </w:p>
        </w:tc>
      </w:tr>
      <w:tr w:rsidR="00D75221" w:rsidRPr="00A63472" w14:paraId="7496CCFD" w14:textId="77777777" w:rsidTr="009D4BB0">
        <w:tc>
          <w:tcPr>
            <w:tcW w:w="351" w:type="pct"/>
            <w:shd w:val="clear" w:color="auto" w:fill="FFFFFF"/>
            <w:vAlign w:val="center"/>
          </w:tcPr>
          <w:p w14:paraId="33614156"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3.</w:t>
            </w:r>
          </w:p>
        </w:tc>
        <w:tc>
          <w:tcPr>
            <w:tcW w:w="4032" w:type="pct"/>
            <w:shd w:val="clear" w:color="auto" w:fill="FFFFFF"/>
            <w:vAlign w:val="center"/>
          </w:tcPr>
          <w:p w14:paraId="351461E0"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Phương án đấu giá đề xuất được đối tượng và điều kiện tham gia đấu giá phù hợp với tài sản đấu giá</w:t>
            </w:r>
          </w:p>
        </w:tc>
        <w:tc>
          <w:tcPr>
            <w:tcW w:w="617" w:type="pct"/>
            <w:shd w:val="clear" w:color="auto" w:fill="FFFFFF"/>
            <w:vAlign w:val="center"/>
          </w:tcPr>
          <w:p w14:paraId="69FB9BD9"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4,0</w:t>
            </w:r>
          </w:p>
        </w:tc>
      </w:tr>
      <w:tr w:rsidR="00D75221" w:rsidRPr="00A63472" w14:paraId="6D57F45C" w14:textId="77777777" w:rsidTr="009D4BB0">
        <w:tc>
          <w:tcPr>
            <w:tcW w:w="351" w:type="pct"/>
            <w:shd w:val="clear" w:color="auto" w:fill="FFFFFF"/>
            <w:vAlign w:val="center"/>
          </w:tcPr>
          <w:p w14:paraId="5842FB19"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3.1</w:t>
            </w:r>
          </w:p>
        </w:tc>
        <w:tc>
          <w:tcPr>
            <w:tcW w:w="4032" w:type="pct"/>
            <w:shd w:val="clear" w:color="auto" w:fill="FFFFFF"/>
            <w:vAlign w:val="center"/>
          </w:tcPr>
          <w:p w14:paraId="1CA7CB38"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Đối tượng theo đúng quy định của pháp luật</w:t>
            </w:r>
          </w:p>
        </w:tc>
        <w:tc>
          <w:tcPr>
            <w:tcW w:w="617" w:type="pct"/>
            <w:shd w:val="clear" w:color="auto" w:fill="FFFFFF"/>
            <w:vAlign w:val="center"/>
          </w:tcPr>
          <w:p w14:paraId="6C2BF4B7"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2,0</w:t>
            </w:r>
          </w:p>
        </w:tc>
      </w:tr>
      <w:tr w:rsidR="00D75221" w:rsidRPr="00A63472" w14:paraId="51650F2E" w14:textId="77777777" w:rsidTr="009D4BB0">
        <w:tc>
          <w:tcPr>
            <w:tcW w:w="351" w:type="pct"/>
            <w:shd w:val="clear" w:color="auto" w:fill="FFFFFF"/>
            <w:vAlign w:val="center"/>
          </w:tcPr>
          <w:p w14:paraId="62464C3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3.2</w:t>
            </w:r>
          </w:p>
        </w:tc>
        <w:tc>
          <w:tcPr>
            <w:tcW w:w="4032" w:type="pct"/>
            <w:shd w:val="clear" w:color="auto" w:fill="FFFFFF"/>
            <w:vAlign w:val="center"/>
          </w:tcPr>
          <w:p w14:paraId="3DE65E8D"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Điều kiện tham gia đấu giá phù hợp với quy định pháp luật áp dụng đối với tài sản đấu giá</w:t>
            </w:r>
          </w:p>
        </w:tc>
        <w:tc>
          <w:tcPr>
            <w:tcW w:w="617" w:type="pct"/>
            <w:shd w:val="clear" w:color="auto" w:fill="FFFFFF"/>
            <w:vAlign w:val="center"/>
          </w:tcPr>
          <w:p w14:paraId="49C62422"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2,0</w:t>
            </w:r>
          </w:p>
        </w:tc>
      </w:tr>
      <w:tr w:rsidR="00D75221" w:rsidRPr="00A63472" w14:paraId="4B5107FB" w14:textId="77777777" w:rsidTr="009D4BB0">
        <w:tc>
          <w:tcPr>
            <w:tcW w:w="351" w:type="pct"/>
            <w:shd w:val="clear" w:color="auto" w:fill="FFFFFF"/>
            <w:vAlign w:val="center"/>
          </w:tcPr>
          <w:p w14:paraId="2D0447F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4</w:t>
            </w:r>
            <w:r w:rsidRPr="00A63472">
              <w:rPr>
                <w:rFonts w:ascii="Times New Roman" w:eastAsia="Times New Roman" w:hAnsi="Times New Roman" w:cs="Times New Roman"/>
                <w:b/>
                <w:bCs/>
                <w:color w:val="auto"/>
                <w:sz w:val="27"/>
                <w:szCs w:val="27"/>
                <w:lang w:val="en-US" w:eastAsia="en-US"/>
              </w:rPr>
              <w:t>.</w:t>
            </w:r>
          </w:p>
        </w:tc>
        <w:tc>
          <w:tcPr>
            <w:tcW w:w="4032" w:type="pct"/>
            <w:shd w:val="clear" w:color="auto" w:fill="FFFFFF"/>
            <w:vAlign w:val="center"/>
          </w:tcPr>
          <w:p w14:paraId="1849393B"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Phương án đấu giá đề xuất giải pháp giám sát việc tổ chức đấu giá hiệu quả; chống thông đồng, dìm giá, bảo đảm an toàn, an ninh trật tự của phiên đấu giá</w:t>
            </w:r>
          </w:p>
        </w:tc>
        <w:tc>
          <w:tcPr>
            <w:tcW w:w="617" w:type="pct"/>
            <w:shd w:val="clear" w:color="auto" w:fill="FFFFFF"/>
            <w:vAlign w:val="center"/>
          </w:tcPr>
          <w:p w14:paraId="4C253AE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4,0</w:t>
            </w:r>
          </w:p>
        </w:tc>
      </w:tr>
      <w:tr w:rsidR="00D75221" w:rsidRPr="00A63472" w14:paraId="5D6498D9" w14:textId="77777777" w:rsidTr="009D4BB0">
        <w:tc>
          <w:tcPr>
            <w:tcW w:w="351" w:type="pct"/>
            <w:shd w:val="clear" w:color="auto" w:fill="FFFFFF"/>
            <w:vAlign w:val="center"/>
          </w:tcPr>
          <w:p w14:paraId="7EAC0923"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IV</w:t>
            </w:r>
          </w:p>
        </w:tc>
        <w:tc>
          <w:tcPr>
            <w:tcW w:w="4032" w:type="pct"/>
            <w:shd w:val="clear" w:color="auto" w:fill="FFFFFF"/>
            <w:vAlign w:val="center"/>
          </w:tcPr>
          <w:p w14:paraId="28E78591"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Năng lực, kinh nghiệm và uy tín của tổ chức hành nghề đấu giá tài sản</w:t>
            </w:r>
          </w:p>
        </w:tc>
        <w:tc>
          <w:tcPr>
            <w:tcW w:w="617" w:type="pct"/>
            <w:shd w:val="clear" w:color="auto" w:fill="FFFFFF"/>
            <w:vAlign w:val="center"/>
          </w:tcPr>
          <w:p w14:paraId="54FBDD46"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57,0</w:t>
            </w:r>
          </w:p>
        </w:tc>
      </w:tr>
      <w:tr w:rsidR="00D75221" w:rsidRPr="00A63472" w14:paraId="0A1DF4EE" w14:textId="77777777" w:rsidTr="009D4BB0">
        <w:tc>
          <w:tcPr>
            <w:tcW w:w="351" w:type="pct"/>
            <w:shd w:val="clear" w:color="auto" w:fill="FFFFFF"/>
            <w:vAlign w:val="center"/>
          </w:tcPr>
          <w:p w14:paraId="7748B58A" w14:textId="77777777" w:rsidR="00D75221" w:rsidRPr="00A63472" w:rsidRDefault="00D75221" w:rsidP="009D4BB0">
            <w:pPr>
              <w:widowControl/>
              <w:spacing w:before="120"/>
              <w:jc w:val="center"/>
              <w:rPr>
                <w:rFonts w:ascii="Times New Roman" w:eastAsia="Times New Roman" w:hAnsi="Times New Roman" w:cs="Times New Roman"/>
                <w:b/>
                <w:i/>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1</w:t>
            </w:r>
            <w:r w:rsidRPr="00A63472">
              <w:rPr>
                <w:rFonts w:ascii="Times New Roman" w:eastAsia="Times New Roman" w:hAnsi="Times New Roman" w:cs="Times New Roman"/>
                <w:b/>
                <w:i/>
                <w:iCs/>
                <w:color w:val="auto"/>
                <w:sz w:val="27"/>
                <w:szCs w:val="27"/>
                <w:lang w:val="en-US" w:eastAsia="en-US"/>
              </w:rPr>
              <w:t>.</w:t>
            </w:r>
          </w:p>
        </w:tc>
        <w:tc>
          <w:tcPr>
            <w:tcW w:w="4032" w:type="pct"/>
            <w:shd w:val="clear" w:color="auto" w:fill="FFFFFF"/>
            <w:vAlign w:val="center"/>
          </w:tcPr>
          <w:p w14:paraId="3B6960E0" w14:textId="77777777" w:rsidR="00D75221" w:rsidRPr="00A63472" w:rsidRDefault="00D75221" w:rsidP="009D4BB0">
            <w:pPr>
              <w:widowControl/>
              <w:spacing w:before="120"/>
              <w:rPr>
                <w:rFonts w:ascii="Times New Roman" w:eastAsia="Times New Roman" w:hAnsi="Times New Roman" w:cs="Times New Roman"/>
                <w:b/>
                <w:i/>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Tổng số cuộc đấu giá đã tổ chức trong năm trước liền kề (bao gồm cả cuộc đấu giá thành và cuộc đấu giá không thành)</w:t>
            </w:r>
          </w:p>
          <w:p w14:paraId="54B64106"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Chỉ chọn chấm điểm một trong các tiêu chí.</w:t>
            </w:r>
          </w:p>
        </w:tc>
        <w:tc>
          <w:tcPr>
            <w:tcW w:w="617" w:type="pct"/>
            <w:shd w:val="clear" w:color="auto" w:fill="FFFFFF"/>
            <w:vAlign w:val="center"/>
          </w:tcPr>
          <w:p w14:paraId="6EE9603D"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15,0</w:t>
            </w:r>
          </w:p>
        </w:tc>
      </w:tr>
      <w:tr w:rsidR="00D75221" w:rsidRPr="00A63472" w14:paraId="16964BD1" w14:textId="77777777" w:rsidTr="009D4BB0">
        <w:tc>
          <w:tcPr>
            <w:tcW w:w="351" w:type="pct"/>
            <w:shd w:val="clear" w:color="auto" w:fill="FFFFFF"/>
            <w:vAlign w:val="center"/>
          </w:tcPr>
          <w:p w14:paraId="3A4A102C"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1.1</w:t>
            </w:r>
          </w:p>
        </w:tc>
        <w:tc>
          <w:tcPr>
            <w:tcW w:w="4032" w:type="pct"/>
            <w:shd w:val="clear" w:color="auto" w:fill="FFFFFF"/>
            <w:vAlign w:val="center"/>
          </w:tcPr>
          <w:p w14:paraId="465B4D4A"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Dưới 20 cuộc đấu giá</w:t>
            </w:r>
          </w:p>
        </w:tc>
        <w:tc>
          <w:tcPr>
            <w:tcW w:w="617" w:type="pct"/>
            <w:shd w:val="clear" w:color="auto" w:fill="FFFFFF"/>
            <w:vAlign w:val="center"/>
          </w:tcPr>
          <w:p w14:paraId="37B0D98A"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12,0</w:t>
            </w:r>
          </w:p>
        </w:tc>
      </w:tr>
      <w:tr w:rsidR="00D75221" w:rsidRPr="00A63472" w14:paraId="163DBD7C" w14:textId="77777777" w:rsidTr="009D4BB0">
        <w:tc>
          <w:tcPr>
            <w:tcW w:w="351" w:type="pct"/>
            <w:shd w:val="clear" w:color="auto" w:fill="FFFFFF"/>
            <w:vAlign w:val="center"/>
          </w:tcPr>
          <w:p w14:paraId="1EE74BBF"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1.2</w:t>
            </w:r>
          </w:p>
        </w:tc>
        <w:tc>
          <w:tcPr>
            <w:tcW w:w="4032" w:type="pct"/>
            <w:shd w:val="clear" w:color="auto" w:fill="FFFFFF"/>
            <w:vAlign w:val="center"/>
          </w:tcPr>
          <w:p w14:paraId="2A51A86B"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20 cuộc đấu giá đến dưới 40 cuộc đấu giá</w:t>
            </w:r>
          </w:p>
        </w:tc>
        <w:tc>
          <w:tcPr>
            <w:tcW w:w="617" w:type="pct"/>
            <w:shd w:val="clear" w:color="auto" w:fill="FFFFFF"/>
            <w:vAlign w:val="center"/>
          </w:tcPr>
          <w:p w14:paraId="19B6D608"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13,0</w:t>
            </w:r>
          </w:p>
        </w:tc>
      </w:tr>
      <w:tr w:rsidR="00D75221" w:rsidRPr="00A63472" w14:paraId="2F84C552" w14:textId="77777777" w:rsidTr="009D4BB0">
        <w:tc>
          <w:tcPr>
            <w:tcW w:w="351" w:type="pct"/>
            <w:shd w:val="clear" w:color="auto" w:fill="FFFFFF"/>
            <w:vAlign w:val="center"/>
          </w:tcPr>
          <w:p w14:paraId="599B09F3"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1.3</w:t>
            </w:r>
          </w:p>
        </w:tc>
        <w:tc>
          <w:tcPr>
            <w:tcW w:w="4032" w:type="pct"/>
            <w:shd w:val="clear" w:color="auto" w:fill="FFFFFF"/>
            <w:vAlign w:val="center"/>
          </w:tcPr>
          <w:p w14:paraId="2BD98931"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40 cuộc đấu giá đến dưới 70 cuộc đấu giá</w:t>
            </w:r>
          </w:p>
        </w:tc>
        <w:tc>
          <w:tcPr>
            <w:tcW w:w="617" w:type="pct"/>
            <w:shd w:val="clear" w:color="auto" w:fill="FFFFFF"/>
            <w:vAlign w:val="center"/>
          </w:tcPr>
          <w:p w14:paraId="5370F571"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14,0</w:t>
            </w:r>
          </w:p>
        </w:tc>
      </w:tr>
      <w:tr w:rsidR="00D75221" w:rsidRPr="00A63472" w14:paraId="53248C67" w14:textId="77777777" w:rsidTr="009D4BB0">
        <w:tc>
          <w:tcPr>
            <w:tcW w:w="351" w:type="pct"/>
            <w:shd w:val="clear" w:color="auto" w:fill="FFFFFF"/>
            <w:vAlign w:val="center"/>
          </w:tcPr>
          <w:p w14:paraId="1392A96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1.4</w:t>
            </w:r>
          </w:p>
        </w:tc>
        <w:tc>
          <w:tcPr>
            <w:tcW w:w="4032" w:type="pct"/>
            <w:shd w:val="clear" w:color="auto" w:fill="FFFFFF"/>
            <w:vAlign w:val="center"/>
          </w:tcPr>
          <w:p w14:paraId="7C79298E"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70 cuộc đấu giá trở lên</w:t>
            </w:r>
          </w:p>
        </w:tc>
        <w:tc>
          <w:tcPr>
            <w:tcW w:w="617" w:type="pct"/>
            <w:shd w:val="clear" w:color="auto" w:fill="FFFFFF"/>
            <w:vAlign w:val="center"/>
          </w:tcPr>
          <w:p w14:paraId="4F3C30AF"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15,0</w:t>
            </w:r>
          </w:p>
        </w:tc>
      </w:tr>
      <w:tr w:rsidR="00D75221" w:rsidRPr="00A63472" w14:paraId="52A6D2E9" w14:textId="77777777" w:rsidTr="009D4BB0">
        <w:tc>
          <w:tcPr>
            <w:tcW w:w="351" w:type="pct"/>
            <w:shd w:val="clear" w:color="auto" w:fill="FFFFFF"/>
            <w:vAlign w:val="center"/>
          </w:tcPr>
          <w:p w14:paraId="3C2B3BA9"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2.</w:t>
            </w:r>
          </w:p>
        </w:tc>
        <w:tc>
          <w:tcPr>
            <w:tcW w:w="4032" w:type="pct"/>
            <w:shd w:val="clear" w:color="auto" w:fill="FFFFFF"/>
            <w:vAlign w:val="center"/>
          </w:tcPr>
          <w:p w14:paraId="619C9FFA"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Tổng số cuộc đấu giá thành trong năm trước liền kề</w:t>
            </w:r>
          </w:p>
          <w:p w14:paraId="50B23500"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Chỉ chọn chấm điểm một trong các tiêu chí.</w:t>
            </w:r>
          </w:p>
        </w:tc>
        <w:tc>
          <w:tcPr>
            <w:tcW w:w="617" w:type="pct"/>
            <w:shd w:val="clear" w:color="auto" w:fill="FFFFFF"/>
            <w:vAlign w:val="center"/>
          </w:tcPr>
          <w:p w14:paraId="5FA83284" w14:textId="77777777" w:rsidR="00D75221" w:rsidRPr="00A63472" w:rsidRDefault="00D75221" w:rsidP="009D4BB0">
            <w:pPr>
              <w:widowControl/>
              <w:spacing w:before="120"/>
              <w:jc w:val="center"/>
              <w:rPr>
                <w:rFonts w:ascii="Times New Roman" w:eastAsia="Times New Roman" w:hAnsi="Times New Roman" w:cs="Times New Roman"/>
                <w:b/>
                <w:color w:val="auto"/>
                <w:sz w:val="27"/>
                <w:szCs w:val="27"/>
                <w:lang w:val="en-US" w:eastAsia="en-US"/>
              </w:rPr>
            </w:pPr>
            <w:r w:rsidRPr="00A63472">
              <w:rPr>
                <w:rFonts w:ascii="Times New Roman" w:eastAsia="Times New Roman" w:hAnsi="Times New Roman" w:cs="Times New Roman"/>
                <w:b/>
                <w:i/>
                <w:iCs/>
                <w:color w:val="auto"/>
                <w:sz w:val="27"/>
                <w:szCs w:val="27"/>
                <w:lang w:val="en-US" w:eastAsia="en-US"/>
              </w:rPr>
              <w:t>7,0</w:t>
            </w:r>
          </w:p>
        </w:tc>
      </w:tr>
      <w:tr w:rsidR="00D75221" w:rsidRPr="00A63472" w14:paraId="130F487C" w14:textId="77777777" w:rsidTr="009D4BB0">
        <w:tc>
          <w:tcPr>
            <w:tcW w:w="351" w:type="pct"/>
            <w:shd w:val="clear" w:color="auto" w:fill="FFFFFF"/>
            <w:vAlign w:val="center"/>
          </w:tcPr>
          <w:p w14:paraId="64F61021"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2.1</w:t>
            </w:r>
          </w:p>
        </w:tc>
        <w:tc>
          <w:tcPr>
            <w:tcW w:w="4032" w:type="pct"/>
            <w:shd w:val="clear" w:color="auto" w:fill="FFFFFF"/>
            <w:vAlign w:val="center"/>
          </w:tcPr>
          <w:p w14:paraId="4ED5B9DF"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Dưới 10 cuộc đấu giá thành (bao gồm cả trường hợp không có cuộc đấu giá thành nào)</w:t>
            </w:r>
          </w:p>
        </w:tc>
        <w:tc>
          <w:tcPr>
            <w:tcW w:w="617" w:type="pct"/>
            <w:shd w:val="clear" w:color="auto" w:fill="FFFFFF"/>
            <w:vAlign w:val="center"/>
          </w:tcPr>
          <w:p w14:paraId="784891D3"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4,0</w:t>
            </w:r>
          </w:p>
        </w:tc>
      </w:tr>
      <w:tr w:rsidR="00D75221" w:rsidRPr="00A63472" w14:paraId="24891E4B" w14:textId="77777777" w:rsidTr="009D4BB0">
        <w:tc>
          <w:tcPr>
            <w:tcW w:w="351" w:type="pct"/>
            <w:shd w:val="clear" w:color="auto" w:fill="FFFFFF"/>
            <w:vAlign w:val="center"/>
          </w:tcPr>
          <w:p w14:paraId="4C5C8833"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2.2</w:t>
            </w:r>
          </w:p>
        </w:tc>
        <w:tc>
          <w:tcPr>
            <w:tcW w:w="4032" w:type="pct"/>
            <w:shd w:val="clear" w:color="auto" w:fill="FFFFFF"/>
            <w:vAlign w:val="center"/>
          </w:tcPr>
          <w:p w14:paraId="14E1ED7D"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10 cuộc đấu giá thành đến dưới 30 cuộc đấu giá thành</w:t>
            </w:r>
          </w:p>
        </w:tc>
        <w:tc>
          <w:tcPr>
            <w:tcW w:w="617" w:type="pct"/>
            <w:shd w:val="clear" w:color="auto" w:fill="FFFFFF"/>
            <w:vAlign w:val="center"/>
          </w:tcPr>
          <w:p w14:paraId="3A608989"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5,0</w:t>
            </w:r>
          </w:p>
        </w:tc>
      </w:tr>
      <w:tr w:rsidR="00D75221" w:rsidRPr="00A63472" w14:paraId="0498361A" w14:textId="77777777" w:rsidTr="009D4BB0">
        <w:tc>
          <w:tcPr>
            <w:tcW w:w="351" w:type="pct"/>
            <w:shd w:val="clear" w:color="auto" w:fill="FFFFFF"/>
            <w:vAlign w:val="center"/>
          </w:tcPr>
          <w:p w14:paraId="3B5BEEB3"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2.3</w:t>
            </w:r>
          </w:p>
        </w:tc>
        <w:tc>
          <w:tcPr>
            <w:tcW w:w="4032" w:type="pct"/>
            <w:shd w:val="clear" w:color="auto" w:fill="FFFFFF"/>
            <w:vAlign w:val="center"/>
          </w:tcPr>
          <w:p w14:paraId="50E11F7E"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30 cuộc đấu giá thành đến dưới 50 cuộc đấu giá thành</w:t>
            </w:r>
          </w:p>
        </w:tc>
        <w:tc>
          <w:tcPr>
            <w:tcW w:w="617" w:type="pct"/>
            <w:shd w:val="clear" w:color="auto" w:fill="FFFFFF"/>
            <w:vAlign w:val="center"/>
          </w:tcPr>
          <w:p w14:paraId="67821623"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6,0</w:t>
            </w:r>
          </w:p>
        </w:tc>
      </w:tr>
      <w:tr w:rsidR="00D75221" w:rsidRPr="00A63472" w14:paraId="60D408F9" w14:textId="77777777" w:rsidTr="009D4BB0">
        <w:tc>
          <w:tcPr>
            <w:tcW w:w="351" w:type="pct"/>
            <w:shd w:val="clear" w:color="auto" w:fill="FFFFFF"/>
            <w:vAlign w:val="center"/>
          </w:tcPr>
          <w:p w14:paraId="5E6040CF"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2.4</w:t>
            </w:r>
          </w:p>
        </w:tc>
        <w:tc>
          <w:tcPr>
            <w:tcW w:w="4032" w:type="pct"/>
            <w:shd w:val="clear" w:color="auto" w:fill="FFFFFF"/>
            <w:vAlign w:val="center"/>
          </w:tcPr>
          <w:p w14:paraId="2DA33C56"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50 cuộc đấu giá thành trở lên</w:t>
            </w:r>
          </w:p>
        </w:tc>
        <w:tc>
          <w:tcPr>
            <w:tcW w:w="617" w:type="pct"/>
            <w:shd w:val="clear" w:color="auto" w:fill="FFFFFF"/>
            <w:vAlign w:val="center"/>
          </w:tcPr>
          <w:p w14:paraId="6A4E81BC"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7,0</w:t>
            </w:r>
          </w:p>
        </w:tc>
      </w:tr>
      <w:tr w:rsidR="00D75221" w:rsidRPr="00A63472" w14:paraId="32D9CC08" w14:textId="77777777" w:rsidTr="009D4BB0">
        <w:tc>
          <w:tcPr>
            <w:tcW w:w="351" w:type="pct"/>
            <w:shd w:val="clear" w:color="auto" w:fill="FFFFFF"/>
            <w:vAlign w:val="center"/>
          </w:tcPr>
          <w:p w14:paraId="4169261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3.</w:t>
            </w:r>
          </w:p>
        </w:tc>
        <w:tc>
          <w:tcPr>
            <w:tcW w:w="4032" w:type="pct"/>
            <w:shd w:val="clear" w:color="auto" w:fill="FFFFFF"/>
            <w:vAlign w:val="center"/>
          </w:tcPr>
          <w:p w14:paraId="79E69D23"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Tổng số cuộc đấu giá thành có chênh lệch giữa giá trúng so với giá khởi điểm trong năm trước liền kề</w:t>
            </w:r>
            <w:r w:rsidRPr="00A63472">
              <w:rPr>
                <w:rFonts w:ascii="Times New Roman" w:eastAsia="Times New Roman" w:hAnsi="Times New Roman" w:cs="Times New Roman"/>
                <w:b/>
                <w:bCs/>
                <w:color w:val="auto"/>
                <w:sz w:val="27"/>
                <w:szCs w:val="27"/>
                <w:lang w:val="en-US" w:eastAsia="en-US"/>
              </w:rPr>
              <w:t xml:space="preserve"> </w:t>
            </w:r>
            <w:r w:rsidRPr="00A63472">
              <w:rPr>
                <w:rFonts w:ascii="Times New Roman" w:eastAsia="Times New Roman" w:hAnsi="Times New Roman" w:cs="Times New Roman"/>
                <w:color w:val="auto"/>
                <w:sz w:val="27"/>
                <w:szCs w:val="27"/>
                <w:lang w:val="en-US" w:eastAsia="en-US"/>
              </w:rPr>
              <w:t>(Người có tài sản không yêu cầu nộp hoặc cung cấp bản chính hoặc bản sao hợp đồng, quy chế cuộc đấu giá và các tài liệu có liên quan)</w:t>
            </w:r>
          </w:p>
          <w:p w14:paraId="1F2739AF"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Chỉ chọn chấm điểm một trong các tiêu chí.</w:t>
            </w:r>
          </w:p>
        </w:tc>
        <w:tc>
          <w:tcPr>
            <w:tcW w:w="617" w:type="pct"/>
            <w:shd w:val="clear" w:color="auto" w:fill="FFFFFF"/>
            <w:vAlign w:val="center"/>
          </w:tcPr>
          <w:p w14:paraId="3EDCACB1"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7,0</w:t>
            </w:r>
          </w:p>
        </w:tc>
      </w:tr>
      <w:tr w:rsidR="00D75221" w:rsidRPr="00A63472" w14:paraId="312EA3D5" w14:textId="77777777" w:rsidTr="009D4BB0">
        <w:tc>
          <w:tcPr>
            <w:tcW w:w="351" w:type="pct"/>
            <w:shd w:val="clear" w:color="auto" w:fill="FFFFFF"/>
            <w:vAlign w:val="center"/>
          </w:tcPr>
          <w:p w14:paraId="68751E8E"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3.1</w:t>
            </w:r>
          </w:p>
        </w:tc>
        <w:tc>
          <w:tcPr>
            <w:tcW w:w="4032" w:type="pct"/>
            <w:shd w:val="clear" w:color="auto" w:fill="FFFFFF"/>
            <w:vAlign w:val="center"/>
          </w:tcPr>
          <w:p w14:paraId="70220AA5"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Dưới 10 cuộc (bao gồm cả trường hợp không có chênh lệch)</w:t>
            </w:r>
          </w:p>
        </w:tc>
        <w:tc>
          <w:tcPr>
            <w:tcW w:w="617" w:type="pct"/>
            <w:shd w:val="clear" w:color="auto" w:fill="FFFFFF"/>
            <w:vAlign w:val="center"/>
          </w:tcPr>
          <w:p w14:paraId="64FF4CB5"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4,0</w:t>
            </w:r>
          </w:p>
        </w:tc>
      </w:tr>
      <w:tr w:rsidR="00D75221" w:rsidRPr="00A63472" w14:paraId="2FEC6FE7" w14:textId="77777777" w:rsidTr="009D4BB0">
        <w:tc>
          <w:tcPr>
            <w:tcW w:w="351" w:type="pct"/>
            <w:shd w:val="clear" w:color="auto" w:fill="FFFFFF"/>
            <w:vAlign w:val="center"/>
          </w:tcPr>
          <w:p w14:paraId="654FE151"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3.2</w:t>
            </w:r>
          </w:p>
        </w:tc>
        <w:tc>
          <w:tcPr>
            <w:tcW w:w="4032" w:type="pct"/>
            <w:shd w:val="clear" w:color="auto" w:fill="FFFFFF"/>
            <w:vAlign w:val="center"/>
          </w:tcPr>
          <w:p w14:paraId="4483D072"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10 cuộc đến dưới 30 cuộc</w:t>
            </w:r>
          </w:p>
        </w:tc>
        <w:tc>
          <w:tcPr>
            <w:tcW w:w="617" w:type="pct"/>
            <w:shd w:val="clear" w:color="auto" w:fill="FFFFFF"/>
            <w:vAlign w:val="center"/>
          </w:tcPr>
          <w:p w14:paraId="0FE06E19"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5,0</w:t>
            </w:r>
          </w:p>
        </w:tc>
      </w:tr>
      <w:tr w:rsidR="00D75221" w:rsidRPr="00A63472" w14:paraId="2959A69B" w14:textId="77777777" w:rsidTr="009D4BB0">
        <w:tc>
          <w:tcPr>
            <w:tcW w:w="351" w:type="pct"/>
            <w:shd w:val="clear" w:color="auto" w:fill="FFFFFF"/>
            <w:vAlign w:val="center"/>
          </w:tcPr>
          <w:p w14:paraId="1C8DBAF3"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lastRenderedPageBreak/>
              <w:t>3.3</w:t>
            </w:r>
          </w:p>
        </w:tc>
        <w:tc>
          <w:tcPr>
            <w:tcW w:w="4032" w:type="pct"/>
            <w:shd w:val="clear" w:color="auto" w:fill="FFFFFF"/>
            <w:vAlign w:val="center"/>
          </w:tcPr>
          <w:p w14:paraId="0449C171"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30 cuộc đến dưới 50 cuộc</w:t>
            </w:r>
          </w:p>
        </w:tc>
        <w:tc>
          <w:tcPr>
            <w:tcW w:w="617" w:type="pct"/>
            <w:shd w:val="clear" w:color="auto" w:fill="FFFFFF"/>
            <w:vAlign w:val="center"/>
          </w:tcPr>
          <w:p w14:paraId="1C8EB24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6,0</w:t>
            </w:r>
          </w:p>
        </w:tc>
      </w:tr>
      <w:tr w:rsidR="00D75221" w:rsidRPr="00A63472" w14:paraId="083B066B" w14:textId="77777777" w:rsidTr="009D4BB0">
        <w:tc>
          <w:tcPr>
            <w:tcW w:w="351" w:type="pct"/>
            <w:shd w:val="clear" w:color="auto" w:fill="FFFFFF"/>
            <w:vAlign w:val="center"/>
          </w:tcPr>
          <w:p w14:paraId="6F596238"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3.4</w:t>
            </w:r>
          </w:p>
        </w:tc>
        <w:tc>
          <w:tcPr>
            <w:tcW w:w="4032" w:type="pct"/>
            <w:shd w:val="clear" w:color="auto" w:fill="FFFFFF"/>
            <w:vAlign w:val="center"/>
          </w:tcPr>
          <w:p w14:paraId="5319FD59"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50 cuộc trở lên</w:t>
            </w:r>
          </w:p>
        </w:tc>
        <w:tc>
          <w:tcPr>
            <w:tcW w:w="617" w:type="pct"/>
            <w:shd w:val="clear" w:color="auto" w:fill="FFFFFF"/>
            <w:vAlign w:val="center"/>
          </w:tcPr>
          <w:p w14:paraId="271914AD"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7,0</w:t>
            </w:r>
          </w:p>
        </w:tc>
      </w:tr>
      <w:tr w:rsidR="00D75221" w:rsidRPr="00A63472" w14:paraId="2CB9346D" w14:textId="77777777" w:rsidTr="009D4BB0">
        <w:tc>
          <w:tcPr>
            <w:tcW w:w="351" w:type="pct"/>
            <w:shd w:val="clear" w:color="auto" w:fill="FFFFFF"/>
            <w:vAlign w:val="center"/>
          </w:tcPr>
          <w:p w14:paraId="5B71FAFB" w14:textId="77777777" w:rsidR="00D75221" w:rsidRPr="00A63472" w:rsidRDefault="00D75221" w:rsidP="009D4BB0">
            <w:pPr>
              <w:widowControl/>
              <w:spacing w:before="120"/>
              <w:jc w:val="center"/>
              <w:rPr>
                <w:rFonts w:ascii="Times New Roman" w:eastAsia="Times New Roman" w:hAnsi="Times New Roman" w:cs="Times New Roman"/>
                <w:b/>
                <w:i/>
                <w:color w:val="auto"/>
                <w:sz w:val="27"/>
                <w:szCs w:val="27"/>
                <w:lang w:val="en-US" w:eastAsia="en-US"/>
              </w:rPr>
            </w:pPr>
            <w:r w:rsidRPr="00A63472">
              <w:rPr>
                <w:rFonts w:ascii="Times New Roman" w:eastAsia="Times New Roman" w:hAnsi="Times New Roman" w:cs="Times New Roman"/>
                <w:b/>
                <w:i/>
                <w:iCs/>
                <w:color w:val="auto"/>
                <w:sz w:val="27"/>
                <w:szCs w:val="27"/>
                <w:lang w:val="en-US" w:eastAsia="en-US"/>
              </w:rPr>
              <w:t>4.</w:t>
            </w:r>
          </w:p>
        </w:tc>
        <w:tc>
          <w:tcPr>
            <w:tcW w:w="4032" w:type="pct"/>
            <w:shd w:val="clear" w:color="auto" w:fill="FFFFFF"/>
            <w:vAlign w:val="center"/>
          </w:tcPr>
          <w:p w14:paraId="3EB64D4B"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Tổng số cuộc đấu giá thành trong năm trước liền kề có mức chênh lệch từ 10% trở lên</w:t>
            </w:r>
            <w:r w:rsidRPr="00A63472">
              <w:rPr>
                <w:rFonts w:ascii="Times New Roman" w:eastAsia="Times New Roman" w:hAnsi="Times New Roman" w:cs="Times New Roman"/>
                <w:b/>
                <w:bCs/>
                <w:color w:val="auto"/>
                <w:sz w:val="27"/>
                <w:szCs w:val="27"/>
                <w:lang w:val="en-US" w:eastAsia="en-US"/>
              </w:rPr>
              <w:t xml:space="preserve"> </w:t>
            </w:r>
            <w:r w:rsidRPr="00A63472">
              <w:rPr>
                <w:rFonts w:ascii="Times New Roman" w:eastAsia="Times New Roman" w:hAnsi="Times New Roman" w:cs="Times New Roman"/>
                <w:color w:val="auto"/>
                <w:sz w:val="27"/>
                <w:szCs w:val="27"/>
                <w:lang w:val="en-US" w:eastAsia="en-US"/>
              </w:rPr>
              <w:t>(Người có tài sản đấu giá không yêu cầu nộp bản chính hoặc bản sao hợp đồng)</w:t>
            </w:r>
          </w:p>
          <w:p w14:paraId="72C0157A"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Người có tài sản chấm điểm theo cách thức dưới đây. Trường hợp kết quả điểm là số thập phân thì được làm tròn đến hàng phần trăm. Trường hợp số điểm của tổ chức hành nghề đấu giá tài sản dưới 1 điểm (bao gồm cả trường hợp 0 điểm) thì được tính là 1 điểm.</w:t>
            </w:r>
          </w:p>
        </w:tc>
        <w:tc>
          <w:tcPr>
            <w:tcW w:w="617" w:type="pct"/>
            <w:shd w:val="clear" w:color="auto" w:fill="FFFFFF"/>
            <w:vAlign w:val="center"/>
          </w:tcPr>
          <w:p w14:paraId="4E04E45A"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3,0</w:t>
            </w:r>
          </w:p>
        </w:tc>
      </w:tr>
      <w:tr w:rsidR="00D75221" w:rsidRPr="00A63472" w14:paraId="7C2C3440" w14:textId="77777777" w:rsidTr="009D4BB0">
        <w:tc>
          <w:tcPr>
            <w:tcW w:w="351" w:type="pct"/>
            <w:shd w:val="clear" w:color="auto" w:fill="FFFFFF"/>
            <w:vAlign w:val="center"/>
          </w:tcPr>
          <w:p w14:paraId="581D0A5F"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4.1</w:t>
            </w:r>
          </w:p>
        </w:tc>
        <w:tc>
          <w:tcPr>
            <w:tcW w:w="4032" w:type="pct"/>
            <w:shd w:val="clear" w:color="auto" w:fill="FFFFFF"/>
            <w:vAlign w:val="center"/>
          </w:tcPr>
          <w:p w14:paraId="6D23B101"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Tổ chức hành nghề đấu giá tài sản (A) có tổng số cuộc đấu giá thành trong năm trước liền kề có mức chênh lệch từ 10% trở lên nhiều nhất (Y cuộc) thì được tối đa 3 điểm</w:t>
            </w:r>
          </w:p>
        </w:tc>
        <w:tc>
          <w:tcPr>
            <w:tcW w:w="617" w:type="pct"/>
            <w:shd w:val="clear" w:color="auto" w:fill="FFFFFF"/>
            <w:vAlign w:val="center"/>
          </w:tcPr>
          <w:p w14:paraId="0D4A730B"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3,0</w:t>
            </w:r>
          </w:p>
        </w:tc>
      </w:tr>
      <w:tr w:rsidR="00D75221" w:rsidRPr="00A63472" w14:paraId="355A80BB" w14:textId="77777777" w:rsidTr="009D4BB0">
        <w:tc>
          <w:tcPr>
            <w:tcW w:w="351" w:type="pct"/>
            <w:shd w:val="clear" w:color="auto" w:fill="FFFFFF"/>
            <w:vAlign w:val="center"/>
          </w:tcPr>
          <w:p w14:paraId="46DD717D"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4.2</w:t>
            </w:r>
          </w:p>
        </w:tc>
        <w:tc>
          <w:tcPr>
            <w:tcW w:w="4032" w:type="pct"/>
            <w:shd w:val="clear" w:color="auto" w:fill="FFFFFF"/>
            <w:vAlign w:val="center"/>
          </w:tcPr>
          <w:p w14:paraId="3857942A"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Tổ chức hành nghề đấu giá tài sản (B) có tổng số cuộc đấu giá thành trong năm trước liền kề có mức chênh lệch từ 10% trở lên thấp hơn liền kề (U cuộc) thì số điểm được tính theo công thức:</w:t>
            </w:r>
          </w:p>
          <w:p w14:paraId="12DBDB3D"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Số điểm của B = (U x 3)/Y</w:t>
            </w:r>
          </w:p>
        </w:tc>
        <w:tc>
          <w:tcPr>
            <w:tcW w:w="617" w:type="pct"/>
            <w:shd w:val="clear" w:color="auto" w:fill="FFFFFF"/>
            <w:vAlign w:val="center"/>
          </w:tcPr>
          <w:p w14:paraId="17766DAF"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p>
        </w:tc>
      </w:tr>
      <w:tr w:rsidR="00D75221" w:rsidRPr="00A63472" w14:paraId="44B4FEDB" w14:textId="77777777" w:rsidTr="009D4BB0">
        <w:tc>
          <w:tcPr>
            <w:tcW w:w="351" w:type="pct"/>
            <w:shd w:val="clear" w:color="auto" w:fill="FFFFFF"/>
            <w:vAlign w:val="center"/>
          </w:tcPr>
          <w:p w14:paraId="6C095B93"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4.3</w:t>
            </w:r>
          </w:p>
        </w:tc>
        <w:tc>
          <w:tcPr>
            <w:tcW w:w="4032" w:type="pct"/>
            <w:shd w:val="clear" w:color="auto" w:fill="FFFFFF"/>
            <w:vAlign w:val="center"/>
          </w:tcPr>
          <w:p w14:paraId="3E0B07D8"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Tổ chức hành nghề đấu giá tài sản (C) có tổng số cuộc đấu giá thành trong năm trước liền kề có mức chênh lệch từ 10% trở lên thấp hơn liền kề tiếp theo (V cuộc) thì số điểm được tính tương tự theo công thức nêu trên: Số điểm của C</w:t>
            </w:r>
            <w:r w:rsidRPr="00A63472">
              <w:rPr>
                <w:rFonts w:ascii="Times New Roman" w:eastAsia="Times New Roman" w:hAnsi="Times New Roman" w:cs="Times New Roman"/>
                <w:color w:val="auto"/>
                <w:sz w:val="27"/>
                <w:szCs w:val="27"/>
                <w:lang w:val="en-US" w:eastAsia="en-US"/>
              </w:rPr>
              <w:t xml:space="preserve"> =</w:t>
            </w:r>
            <w:r w:rsidRPr="00A63472">
              <w:rPr>
                <w:rFonts w:ascii="Times New Roman" w:eastAsia="Times New Roman" w:hAnsi="Times New Roman" w:cs="Times New Roman"/>
                <w:b/>
                <w:bCs/>
                <w:color w:val="auto"/>
                <w:sz w:val="27"/>
                <w:szCs w:val="27"/>
                <w:lang w:val="en-US" w:eastAsia="en-US"/>
              </w:rPr>
              <w:t xml:space="preserve"> </w:t>
            </w:r>
            <w:r w:rsidRPr="00A63472">
              <w:rPr>
                <w:rFonts w:ascii="Times New Roman" w:eastAsia="Times New Roman" w:hAnsi="Times New Roman" w:cs="Times New Roman"/>
                <w:i/>
                <w:iCs/>
                <w:color w:val="auto"/>
                <w:sz w:val="27"/>
                <w:szCs w:val="27"/>
                <w:lang w:val="en-US" w:eastAsia="en-US"/>
              </w:rPr>
              <w:t>(V x 3)/Y</w:t>
            </w:r>
          </w:p>
        </w:tc>
        <w:tc>
          <w:tcPr>
            <w:tcW w:w="617" w:type="pct"/>
            <w:shd w:val="clear" w:color="auto" w:fill="FFFFFF"/>
            <w:vAlign w:val="center"/>
          </w:tcPr>
          <w:p w14:paraId="4838C39B"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p>
        </w:tc>
      </w:tr>
      <w:tr w:rsidR="00D75221" w:rsidRPr="00A63472" w14:paraId="306C4B95" w14:textId="77777777" w:rsidTr="009D4BB0">
        <w:tc>
          <w:tcPr>
            <w:tcW w:w="351" w:type="pct"/>
            <w:shd w:val="clear" w:color="auto" w:fill="FFFFFF"/>
            <w:vAlign w:val="center"/>
          </w:tcPr>
          <w:p w14:paraId="6EA1E076"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5.</w:t>
            </w:r>
          </w:p>
        </w:tc>
        <w:tc>
          <w:tcPr>
            <w:tcW w:w="4032" w:type="pct"/>
            <w:shd w:val="clear" w:color="auto" w:fill="FFFFFF"/>
            <w:vAlign w:val="center"/>
          </w:tcPr>
          <w:p w14:paraId="532D04F4"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 xml:space="preserve">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w:t>
            </w:r>
            <w:bookmarkStart w:id="2" w:name="tvpllink_penyzwfeux_10"/>
            <w:r w:rsidRPr="00A63472">
              <w:rPr>
                <w:rFonts w:ascii="Times New Roman" w:eastAsia="Times New Roman" w:hAnsi="Times New Roman" w:cs="Times New Roman"/>
                <w:b/>
                <w:bCs/>
                <w:i/>
                <w:iCs/>
                <w:color w:val="auto"/>
                <w:sz w:val="27"/>
                <w:szCs w:val="27"/>
                <w:lang w:val="en-US" w:eastAsia="en-US"/>
              </w:rPr>
              <w:t>Luật đấu giá tài sản</w:t>
            </w:r>
            <w:bookmarkEnd w:id="2"/>
            <w:r w:rsidRPr="00A63472">
              <w:rPr>
                <w:rFonts w:ascii="Times New Roman" w:eastAsia="Times New Roman" w:hAnsi="Times New Roman" w:cs="Times New Roman"/>
                <w:b/>
                <w:bCs/>
                <w:i/>
                <w:iCs/>
                <w:color w:val="auto"/>
                <w:sz w:val="27"/>
                <w:szCs w:val="27"/>
                <w:lang w:val="en-US" w:eastAsia="en-US"/>
              </w:rPr>
              <w:t xml:space="preserve"> có hiệu lực)</w:t>
            </w:r>
          </w:p>
          <w:p w14:paraId="0123E8AD"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Chỉ chọn chấm điểm một trong các tiêu chí.</w:t>
            </w:r>
          </w:p>
        </w:tc>
        <w:tc>
          <w:tcPr>
            <w:tcW w:w="617" w:type="pct"/>
            <w:shd w:val="clear" w:color="auto" w:fill="FFFFFF"/>
            <w:vAlign w:val="center"/>
          </w:tcPr>
          <w:p w14:paraId="59A1D4C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7,0</w:t>
            </w:r>
          </w:p>
        </w:tc>
      </w:tr>
      <w:tr w:rsidR="00D75221" w:rsidRPr="00A63472" w14:paraId="62A0B649" w14:textId="77777777" w:rsidTr="009D4BB0">
        <w:tc>
          <w:tcPr>
            <w:tcW w:w="351" w:type="pct"/>
            <w:shd w:val="clear" w:color="auto" w:fill="FFFFFF"/>
            <w:vAlign w:val="center"/>
          </w:tcPr>
          <w:p w14:paraId="459C530B"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5.1</w:t>
            </w:r>
          </w:p>
        </w:tc>
        <w:tc>
          <w:tcPr>
            <w:tcW w:w="4032" w:type="pct"/>
            <w:shd w:val="clear" w:color="auto" w:fill="FFFFFF"/>
            <w:vAlign w:val="center"/>
          </w:tcPr>
          <w:p w14:paraId="192AA484"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Có thời gian hoạt động dưới 05 năm</w:t>
            </w:r>
          </w:p>
        </w:tc>
        <w:tc>
          <w:tcPr>
            <w:tcW w:w="617" w:type="pct"/>
            <w:shd w:val="clear" w:color="auto" w:fill="FFFFFF"/>
            <w:vAlign w:val="center"/>
          </w:tcPr>
          <w:p w14:paraId="13F6156D"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4,0</w:t>
            </w:r>
          </w:p>
        </w:tc>
      </w:tr>
      <w:tr w:rsidR="00D75221" w:rsidRPr="00A63472" w14:paraId="1635EE5C" w14:textId="77777777" w:rsidTr="009D4BB0">
        <w:tc>
          <w:tcPr>
            <w:tcW w:w="351" w:type="pct"/>
            <w:shd w:val="clear" w:color="auto" w:fill="FFFFFF"/>
            <w:vAlign w:val="center"/>
          </w:tcPr>
          <w:p w14:paraId="4A7DF77E"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5.2</w:t>
            </w:r>
          </w:p>
        </w:tc>
        <w:tc>
          <w:tcPr>
            <w:tcW w:w="4032" w:type="pct"/>
            <w:shd w:val="clear" w:color="auto" w:fill="FFFFFF"/>
            <w:vAlign w:val="center"/>
          </w:tcPr>
          <w:p w14:paraId="5D8C88F8"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Có thời gian hoạt động từ 05 năm đến dưới 10 năm</w:t>
            </w:r>
          </w:p>
        </w:tc>
        <w:tc>
          <w:tcPr>
            <w:tcW w:w="617" w:type="pct"/>
            <w:shd w:val="clear" w:color="auto" w:fill="FFFFFF"/>
            <w:vAlign w:val="center"/>
          </w:tcPr>
          <w:p w14:paraId="736F7705"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5,0</w:t>
            </w:r>
          </w:p>
        </w:tc>
      </w:tr>
      <w:tr w:rsidR="00D75221" w:rsidRPr="00A63472" w14:paraId="7BEFB3D2" w14:textId="77777777" w:rsidTr="009D4BB0">
        <w:tc>
          <w:tcPr>
            <w:tcW w:w="351" w:type="pct"/>
            <w:shd w:val="clear" w:color="auto" w:fill="FFFFFF"/>
            <w:vAlign w:val="center"/>
          </w:tcPr>
          <w:p w14:paraId="2E05F67F"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5.3</w:t>
            </w:r>
          </w:p>
        </w:tc>
        <w:tc>
          <w:tcPr>
            <w:tcW w:w="4032" w:type="pct"/>
            <w:shd w:val="clear" w:color="auto" w:fill="FFFFFF"/>
            <w:vAlign w:val="center"/>
          </w:tcPr>
          <w:p w14:paraId="35CE2D05"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Có thời gian hoạt động từ 10 năm đến dưới 15 năm</w:t>
            </w:r>
          </w:p>
        </w:tc>
        <w:tc>
          <w:tcPr>
            <w:tcW w:w="617" w:type="pct"/>
            <w:shd w:val="clear" w:color="auto" w:fill="FFFFFF"/>
            <w:vAlign w:val="center"/>
          </w:tcPr>
          <w:p w14:paraId="41A1EC36"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6,0</w:t>
            </w:r>
          </w:p>
        </w:tc>
      </w:tr>
      <w:tr w:rsidR="00D75221" w:rsidRPr="00A63472" w14:paraId="4098EA79" w14:textId="77777777" w:rsidTr="009D4BB0">
        <w:tc>
          <w:tcPr>
            <w:tcW w:w="351" w:type="pct"/>
            <w:shd w:val="clear" w:color="auto" w:fill="FFFFFF"/>
            <w:vAlign w:val="center"/>
          </w:tcPr>
          <w:p w14:paraId="35D2882F"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5.4</w:t>
            </w:r>
          </w:p>
        </w:tc>
        <w:tc>
          <w:tcPr>
            <w:tcW w:w="4032" w:type="pct"/>
            <w:shd w:val="clear" w:color="auto" w:fill="FFFFFF"/>
            <w:vAlign w:val="center"/>
          </w:tcPr>
          <w:p w14:paraId="68BF4784"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Có thời gian hoạt động từ 15 năm trở lên</w:t>
            </w:r>
          </w:p>
        </w:tc>
        <w:tc>
          <w:tcPr>
            <w:tcW w:w="617" w:type="pct"/>
            <w:shd w:val="clear" w:color="auto" w:fill="FFFFFF"/>
            <w:vAlign w:val="center"/>
          </w:tcPr>
          <w:p w14:paraId="0D2787FF"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7,0</w:t>
            </w:r>
          </w:p>
        </w:tc>
      </w:tr>
      <w:tr w:rsidR="00D75221" w:rsidRPr="00A63472" w14:paraId="4CF51023" w14:textId="77777777" w:rsidTr="009D4BB0">
        <w:tc>
          <w:tcPr>
            <w:tcW w:w="351" w:type="pct"/>
            <w:shd w:val="clear" w:color="auto" w:fill="FFFFFF"/>
            <w:vAlign w:val="center"/>
          </w:tcPr>
          <w:p w14:paraId="4567FD92"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6.</w:t>
            </w:r>
          </w:p>
        </w:tc>
        <w:tc>
          <w:tcPr>
            <w:tcW w:w="4032" w:type="pct"/>
            <w:shd w:val="clear" w:color="auto" w:fill="FFFFFF"/>
            <w:vAlign w:val="center"/>
          </w:tcPr>
          <w:p w14:paraId="4177AD2B"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Số lượng đấu giá viên của tổ chức hành nghề đấu giá tài sản</w:t>
            </w:r>
          </w:p>
          <w:p w14:paraId="273B3060"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Chỉ chọn chấm điểm một trong các tiêu chí.</w:t>
            </w:r>
          </w:p>
        </w:tc>
        <w:tc>
          <w:tcPr>
            <w:tcW w:w="617" w:type="pct"/>
            <w:shd w:val="clear" w:color="auto" w:fill="FFFFFF"/>
            <w:vAlign w:val="center"/>
          </w:tcPr>
          <w:p w14:paraId="24BB9FFA"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4,0</w:t>
            </w:r>
          </w:p>
        </w:tc>
      </w:tr>
      <w:tr w:rsidR="00D75221" w:rsidRPr="00A63472" w14:paraId="79709024" w14:textId="77777777" w:rsidTr="009D4BB0">
        <w:tc>
          <w:tcPr>
            <w:tcW w:w="351" w:type="pct"/>
            <w:shd w:val="clear" w:color="auto" w:fill="FFFFFF"/>
            <w:vAlign w:val="center"/>
          </w:tcPr>
          <w:p w14:paraId="7078F22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6.1</w:t>
            </w:r>
          </w:p>
        </w:tc>
        <w:tc>
          <w:tcPr>
            <w:tcW w:w="4032" w:type="pct"/>
            <w:shd w:val="clear" w:color="auto" w:fill="FFFFFF"/>
            <w:vAlign w:val="center"/>
          </w:tcPr>
          <w:p w14:paraId="6AEE50B4"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01 đấu giá viên</w:t>
            </w:r>
          </w:p>
        </w:tc>
        <w:tc>
          <w:tcPr>
            <w:tcW w:w="617" w:type="pct"/>
            <w:shd w:val="clear" w:color="auto" w:fill="FFFFFF"/>
            <w:vAlign w:val="center"/>
          </w:tcPr>
          <w:p w14:paraId="539AEC85"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2,0</w:t>
            </w:r>
          </w:p>
        </w:tc>
      </w:tr>
      <w:tr w:rsidR="00D75221" w:rsidRPr="00A63472" w14:paraId="64729A0B" w14:textId="77777777" w:rsidTr="009D4BB0">
        <w:tc>
          <w:tcPr>
            <w:tcW w:w="351" w:type="pct"/>
            <w:shd w:val="clear" w:color="auto" w:fill="FFFFFF"/>
            <w:vAlign w:val="center"/>
          </w:tcPr>
          <w:p w14:paraId="6E56AF82"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6.2</w:t>
            </w:r>
          </w:p>
        </w:tc>
        <w:tc>
          <w:tcPr>
            <w:tcW w:w="4032" w:type="pct"/>
            <w:shd w:val="clear" w:color="auto" w:fill="FFFFFF"/>
            <w:vAlign w:val="center"/>
          </w:tcPr>
          <w:p w14:paraId="0E9806F0"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02 đến dưới 05 đấu giá viên</w:t>
            </w:r>
          </w:p>
        </w:tc>
        <w:tc>
          <w:tcPr>
            <w:tcW w:w="617" w:type="pct"/>
            <w:shd w:val="clear" w:color="auto" w:fill="FFFFFF"/>
            <w:vAlign w:val="center"/>
          </w:tcPr>
          <w:p w14:paraId="794EF0A3"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3,0</w:t>
            </w:r>
          </w:p>
        </w:tc>
      </w:tr>
      <w:tr w:rsidR="00D75221" w:rsidRPr="00A63472" w14:paraId="066FA4EF" w14:textId="77777777" w:rsidTr="009D4BB0">
        <w:tc>
          <w:tcPr>
            <w:tcW w:w="351" w:type="pct"/>
            <w:shd w:val="clear" w:color="auto" w:fill="FFFFFF"/>
            <w:vAlign w:val="center"/>
          </w:tcPr>
          <w:p w14:paraId="1B8C898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6.3</w:t>
            </w:r>
          </w:p>
        </w:tc>
        <w:tc>
          <w:tcPr>
            <w:tcW w:w="4032" w:type="pct"/>
            <w:shd w:val="clear" w:color="auto" w:fill="FFFFFF"/>
            <w:vAlign w:val="center"/>
          </w:tcPr>
          <w:p w14:paraId="7984478B"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05 đấu giá viên trở lên</w:t>
            </w:r>
          </w:p>
        </w:tc>
        <w:tc>
          <w:tcPr>
            <w:tcW w:w="617" w:type="pct"/>
            <w:shd w:val="clear" w:color="auto" w:fill="FFFFFF"/>
            <w:vAlign w:val="center"/>
          </w:tcPr>
          <w:p w14:paraId="62B9A158"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4,0</w:t>
            </w:r>
          </w:p>
        </w:tc>
      </w:tr>
      <w:tr w:rsidR="00D75221" w:rsidRPr="00A63472" w14:paraId="19E2D708" w14:textId="77777777" w:rsidTr="009D4BB0">
        <w:tc>
          <w:tcPr>
            <w:tcW w:w="351" w:type="pct"/>
            <w:shd w:val="clear" w:color="auto" w:fill="FFFFFF"/>
            <w:vAlign w:val="center"/>
          </w:tcPr>
          <w:p w14:paraId="041710E3"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7.</w:t>
            </w:r>
          </w:p>
        </w:tc>
        <w:tc>
          <w:tcPr>
            <w:tcW w:w="4032" w:type="pct"/>
            <w:shd w:val="clear" w:color="auto" w:fill="FFFFFF"/>
            <w:vAlign w:val="center"/>
          </w:tcPr>
          <w:p w14:paraId="03EF8074"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 xml:space="preserve">Kinh nghiệm hành nghề của đấu giá viên là Giám đốc Trung tâm dịch vụ đấu giá tài sản, Tổng giám đốc hoặc Giám đốc của Công ty đấu giá hợp danh, Giám đốc doanh nghiệp tư nhân (Tính từ thời </w:t>
            </w:r>
            <w:r w:rsidRPr="00A63472">
              <w:rPr>
                <w:rFonts w:ascii="Times New Roman" w:eastAsia="Times New Roman" w:hAnsi="Times New Roman" w:cs="Times New Roman"/>
                <w:b/>
                <w:bCs/>
                <w:i/>
                <w:iCs/>
                <w:color w:val="auto"/>
                <w:sz w:val="27"/>
                <w:szCs w:val="27"/>
                <w:lang w:val="en-US" w:eastAsia="en-US"/>
              </w:rPr>
              <w:lastRenderedPageBreak/>
              <w:t xml:space="preserve">điểm được cấp Thẻ đấu giá viên theo Nghị định số </w:t>
            </w:r>
            <w:bookmarkStart w:id="3" w:name="tvpllink_mvyewlqnqs"/>
            <w:r w:rsidRPr="00A63472">
              <w:rPr>
                <w:rFonts w:ascii="Times New Roman" w:eastAsia="Times New Roman" w:hAnsi="Times New Roman" w:cs="Times New Roman"/>
                <w:b/>
                <w:bCs/>
                <w:i/>
                <w:iCs/>
                <w:color w:val="auto"/>
                <w:sz w:val="27"/>
                <w:szCs w:val="27"/>
                <w:lang w:val="en-US" w:eastAsia="en-US"/>
              </w:rPr>
              <w:t>05/2005/NĐ-CP</w:t>
            </w:r>
            <w:bookmarkEnd w:id="3"/>
            <w:r w:rsidRPr="00A63472">
              <w:rPr>
                <w:rFonts w:ascii="Times New Roman" w:eastAsia="Times New Roman" w:hAnsi="Times New Roman" w:cs="Times New Roman"/>
                <w:b/>
                <w:bCs/>
                <w:i/>
                <w:iCs/>
                <w:color w:val="auto"/>
                <w:sz w:val="27"/>
                <w:szCs w:val="27"/>
                <w:lang w:val="en-US" w:eastAsia="en-US"/>
              </w:rPr>
              <w:t xml:space="preserve"> ngày 18/01/2005 của Chính phủ về bán đấu giá tài sản hoặc đăng ký danh sách đấu giá viên tại Sở Tư pháp theo Nghị định số </w:t>
            </w:r>
            <w:bookmarkStart w:id="4" w:name="tvpllink_gjwvtyemnb_1"/>
            <w:r w:rsidRPr="00A63472">
              <w:rPr>
                <w:rFonts w:ascii="Times New Roman" w:eastAsia="Times New Roman" w:hAnsi="Times New Roman" w:cs="Times New Roman"/>
                <w:b/>
                <w:bCs/>
                <w:i/>
                <w:iCs/>
                <w:color w:val="auto"/>
                <w:sz w:val="27"/>
                <w:szCs w:val="27"/>
                <w:lang w:val="en-US" w:eastAsia="en-US"/>
              </w:rPr>
              <w:t>17/2010/NĐ-CP</w:t>
            </w:r>
            <w:bookmarkEnd w:id="4"/>
            <w:r w:rsidRPr="00A63472">
              <w:rPr>
                <w:rFonts w:ascii="Times New Roman" w:eastAsia="Times New Roman" w:hAnsi="Times New Roman" w:cs="Times New Roman"/>
                <w:b/>
                <w:bCs/>
                <w:i/>
                <w:iCs/>
                <w:color w:val="auto"/>
                <w:sz w:val="27"/>
                <w:szCs w:val="27"/>
                <w:lang w:val="en-US" w:eastAsia="en-US"/>
              </w:rPr>
              <w:t xml:space="preserve"> ngày 04/3/2010 của Chính phủ về bán đấu giá tài sản hoặc Thẻ đấu giá viên theo </w:t>
            </w:r>
            <w:bookmarkStart w:id="5" w:name="tvpllink_penyzwfeux_11"/>
            <w:r w:rsidRPr="00A63472">
              <w:rPr>
                <w:rFonts w:ascii="Times New Roman" w:eastAsia="Times New Roman" w:hAnsi="Times New Roman" w:cs="Times New Roman"/>
                <w:b/>
                <w:bCs/>
                <w:i/>
                <w:iCs/>
                <w:color w:val="auto"/>
                <w:sz w:val="27"/>
                <w:szCs w:val="27"/>
                <w:lang w:val="en-US" w:eastAsia="en-US"/>
              </w:rPr>
              <w:t>Luật đấu giá tài sản</w:t>
            </w:r>
            <w:bookmarkEnd w:id="5"/>
            <w:r w:rsidRPr="00A63472">
              <w:rPr>
                <w:rFonts w:ascii="Times New Roman" w:eastAsia="Times New Roman" w:hAnsi="Times New Roman" w:cs="Times New Roman"/>
                <w:b/>
                <w:bCs/>
                <w:i/>
                <w:iCs/>
                <w:color w:val="auto"/>
                <w:sz w:val="27"/>
                <w:szCs w:val="27"/>
                <w:lang w:val="en-US" w:eastAsia="en-US"/>
              </w:rPr>
              <w:t xml:space="preserve"> hoặc thông tin về danh sách đấu giá viên trong Giấy đăng ký hoạt động của doanh nghiệp đấu giá tài sản theo </w:t>
            </w:r>
            <w:bookmarkStart w:id="6" w:name="tvpllink_fkzwaswgmc_10"/>
            <w:r w:rsidRPr="00A63472">
              <w:rPr>
                <w:rFonts w:ascii="Times New Roman" w:eastAsia="Times New Roman" w:hAnsi="Times New Roman" w:cs="Times New Roman"/>
                <w:b/>
                <w:bCs/>
                <w:i/>
                <w:iCs/>
                <w:color w:val="auto"/>
                <w:sz w:val="27"/>
                <w:szCs w:val="27"/>
                <w:lang w:val="en-US" w:eastAsia="en-US"/>
              </w:rPr>
              <w:t>Luật sửa đổi, bổ sung một số điều của Luật đấu giá tài sản</w:t>
            </w:r>
            <w:bookmarkEnd w:id="6"/>
            <w:r w:rsidRPr="00A63472">
              <w:rPr>
                <w:rFonts w:ascii="Times New Roman" w:eastAsia="Times New Roman" w:hAnsi="Times New Roman" w:cs="Times New Roman"/>
                <w:b/>
                <w:bCs/>
                <w:i/>
                <w:iCs/>
                <w:color w:val="auto"/>
                <w:sz w:val="27"/>
                <w:szCs w:val="27"/>
                <w:lang w:val="en-US" w:eastAsia="en-US"/>
              </w:rPr>
              <w:t>)</w:t>
            </w:r>
          </w:p>
          <w:p w14:paraId="161F8728"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Chỉ chọn chấm điểm một trong các tiêu chí.</w:t>
            </w:r>
          </w:p>
        </w:tc>
        <w:tc>
          <w:tcPr>
            <w:tcW w:w="617" w:type="pct"/>
            <w:shd w:val="clear" w:color="auto" w:fill="FFFFFF"/>
            <w:vAlign w:val="center"/>
          </w:tcPr>
          <w:p w14:paraId="5290D908"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lastRenderedPageBreak/>
              <w:t>4,0</w:t>
            </w:r>
          </w:p>
        </w:tc>
      </w:tr>
      <w:tr w:rsidR="00D75221" w:rsidRPr="00A63472" w14:paraId="56EA26DD" w14:textId="77777777" w:rsidTr="009D4BB0">
        <w:tc>
          <w:tcPr>
            <w:tcW w:w="351" w:type="pct"/>
            <w:shd w:val="clear" w:color="auto" w:fill="FFFFFF"/>
            <w:vAlign w:val="center"/>
          </w:tcPr>
          <w:p w14:paraId="2E60208E"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7.1</w:t>
            </w:r>
          </w:p>
        </w:tc>
        <w:tc>
          <w:tcPr>
            <w:tcW w:w="4032" w:type="pct"/>
            <w:shd w:val="clear" w:color="auto" w:fill="FFFFFF"/>
            <w:vAlign w:val="center"/>
          </w:tcPr>
          <w:p w14:paraId="38CDA879"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Dưới 05 năm</w:t>
            </w:r>
          </w:p>
        </w:tc>
        <w:tc>
          <w:tcPr>
            <w:tcW w:w="617" w:type="pct"/>
            <w:shd w:val="clear" w:color="auto" w:fill="FFFFFF"/>
            <w:vAlign w:val="center"/>
          </w:tcPr>
          <w:p w14:paraId="44C50F56"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2,0</w:t>
            </w:r>
          </w:p>
        </w:tc>
      </w:tr>
      <w:tr w:rsidR="00D75221" w:rsidRPr="00A63472" w14:paraId="24BC4833" w14:textId="77777777" w:rsidTr="009D4BB0">
        <w:tc>
          <w:tcPr>
            <w:tcW w:w="351" w:type="pct"/>
            <w:shd w:val="clear" w:color="auto" w:fill="FFFFFF"/>
            <w:vAlign w:val="center"/>
          </w:tcPr>
          <w:p w14:paraId="6FE1D735"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7.2</w:t>
            </w:r>
          </w:p>
        </w:tc>
        <w:tc>
          <w:tcPr>
            <w:tcW w:w="4032" w:type="pct"/>
            <w:shd w:val="clear" w:color="auto" w:fill="FFFFFF"/>
            <w:vAlign w:val="center"/>
          </w:tcPr>
          <w:p w14:paraId="4609EDCF"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05 năm đến dưới 10 năm</w:t>
            </w:r>
          </w:p>
        </w:tc>
        <w:tc>
          <w:tcPr>
            <w:tcW w:w="617" w:type="pct"/>
            <w:shd w:val="clear" w:color="auto" w:fill="FFFFFF"/>
            <w:vAlign w:val="center"/>
          </w:tcPr>
          <w:p w14:paraId="05F50B39"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3,0</w:t>
            </w:r>
          </w:p>
        </w:tc>
      </w:tr>
      <w:tr w:rsidR="00D75221" w:rsidRPr="00A63472" w14:paraId="4E5BD650" w14:textId="77777777" w:rsidTr="009D4BB0">
        <w:tc>
          <w:tcPr>
            <w:tcW w:w="351" w:type="pct"/>
            <w:shd w:val="clear" w:color="auto" w:fill="FFFFFF"/>
            <w:vAlign w:val="center"/>
          </w:tcPr>
          <w:p w14:paraId="662A92BC"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7.3</w:t>
            </w:r>
          </w:p>
        </w:tc>
        <w:tc>
          <w:tcPr>
            <w:tcW w:w="4032" w:type="pct"/>
            <w:shd w:val="clear" w:color="auto" w:fill="FFFFFF"/>
            <w:vAlign w:val="center"/>
          </w:tcPr>
          <w:p w14:paraId="0A4C17B5"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10 năm trở lên</w:t>
            </w:r>
          </w:p>
        </w:tc>
        <w:tc>
          <w:tcPr>
            <w:tcW w:w="617" w:type="pct"/>
            <w:shd w:val="clear" w:color="auto" w:fill="FFFFFF"/>
            <w:vAlign w:val="center"/>
          </w:tcPr>
          <w:p w14:paraId="2436335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4,0</w:t>
            </w:r>
          </w:p>
        </w:tc>
      </w:tr>
      <w:tr w:rsidR="00D75221" w:rsidRPr="00A63472" w14:paraId="74D78682" w14:textId="77777777" w:rsidTr="009D4BB0">
        <w:tc>
          <w:tcPr>
            <w:tcW w:w="351" w:type="pct"/>
            <w:shd w:val="clear" w:color="auto" w:fill="FFFFFF"/>
            <w:vAlign w:val="center"/>
          </w:tcPr>
          <w:p w14:paraId="343988C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8.</w:t>
            </w:r>
          </w:p>
        </w:tc>
        <w:tc>
          <w:tcPr>
            <w:tcW w:w="4032" w:type="pct"/>
            <w:shd w:val="clear" w:color="auto" w:fill="FFFFFF"/>
            <w:vAlign w:val="center"/>
          </w:tcPr>
          <w:p w14:paraId="1E40888B"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Kinh nghiệm của đấu giá viên hành nghề</w:t>
            </w:r>
          </w:p>
          <w:p w14:paraId="2CC2FEF6"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Chỉ chọn chấm điểm một trong các tiêu chí.</w:t>
            </w:r>
          </w:p>
        </w:tc>
        <w:tc>
          <w:tcPr>
            <w:tcW w:w="617" w:type="pct"/>
            <w:shd w:val="clear" w:color="auto" w:fill="FFFFFF"/>
            <w:vAlign w:val="center"/>
          </w:tcPr>
          <w:p w14:paraId="4FBBDB43"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5,0</w:t>
            </w:r>
          </w:p>
        </w:tc>
      </w:tr>
      <w:tr w:rsidR="00D75221" w:rsidRPr="00A63472" w14:paraId="2E69E674" w14:textId="77777777" w:rsidTr="009D4BB0">
        <w:tc>
          <w:tcPr>
            <w:tcW w:w="351" w:type="pct"/>
            <w:shd w:val="clear" w:color="auto" w:fill="FFFFFF"/>
            <w:vAlign w:val="center"/>
          </w:tcPr>
          <w:p w14:paraId="0B501C05"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8.1</w:t>
            </w:r>
          </w:p>
        </w:tc>
        <w:tc>
          <w:tcPr>
            <w:tcW w:w="4032" w:type="pct"/>
            <w:shd w:val="clear" w:color="auto" w:fill="FFFFFF"/>
            <w:vAlign w:val="center"/>
          </w:tcPr>
          <w:p w14:paraId="1B4FA9C9"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Không có đấu giá viên có thời gian hành nghề từ 05 năm trở lên</w:t>
            </w:r>
          </w:p>
        </w:tc>
        <w:tc>
          <w:tcPr>
            <w:tcW w:w="617" w:type="pct"/>
            <w:shd w:val="clear" w:color="auto" w:fill="FFFFFF"/>
            <w:vAlign w:val="center"/>
          </w:tcPr>
          <w:p w14:paraId="5A313FD0"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3,0</w:t>
            </w:r>
          </w:p>
        </w:tc>
      </w:tr>
      <w:tr w:rsidR="00D75221" w:rsidRPr="00A63472" w14:paraId="5D569C31" w14:textId="77777777" w:rsidTr="009D4BB0">
        <w:tc>
          <w:tcPr>
            <w:tcW w:w="351" w:type="pct"/>
            <w:shd w:val="clear" w:color="auto" w:fill="FFFFFF"/>
            <w:vAlign w:val="center"/>
          </w:tcPr>
          <w:p w14:paraId="2FBACC74"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8.2</w:t>
            </w:r>
          </w:p>
        </w:tc>
        <w:tc>
          <w:tcPr>
            <w:tcW w:w="4032" w:type="pct"/>
            <w:shd w:val="clear" w:color="auto" w:fill="FFFFFF"/>
            <w:vAlign w:val="center"/>
          </w:tcPr>
          <w:p w14:paraId="2C424F97"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Có từ 01 đến 03 đấu giá viên có thời gian hành nghề từ 05 năm trở lên</w:t>
            </w:r>
          </w:p>
        </w:tc>
        <w:tc>
          <w:tcPr>
            <w:tcW w:w="617" w:type="pct"/>
            <w:shd w:val="clear" w:color="auto" w:fill="FFFFFF"/>
            <w:vAlign w:val="center"/>
          </w:tcPr>
          <w:p w14:paraId="06F41858"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4,0</w:t>
            </w:r>
          </w:p>
        </w:tc>
      </w:tr>
      <w:tr w:rsidR="00D75221" w:rsidRPr="00A63472" w14:paraId="461C7E75" w14:textId="77777777" w:rsidTr="009D4BB0">
        <w:tc>
          <w:tcPr>
            <w:tcW w:w="351" w:type="pct"/>
            <w:shd w:val="clear" w:color="auto" w:fill="FFFFFF"/>
            <w:vAlign w:val="center"/>
          </w:tcPr>
          <w:p w14:paraId="5EB2F4CB"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8.3</w:t>
            </w:r>
          </w:p>
        </w:tc>
        <w:tc>
          <w:tcPr>
            <w:tcW w:w="4032" w:type="pct"/>
            <w:shd w:val="clear" w:color="auto" w:fill="FFFFFF"/>
            <w:vAlign w:val="center"/>
          </w:tcPr>
          <w:p w14:paraId="1265E64B"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Có từ 4 đấu giá viên trở lên có thời gian hành nghề từ 05 năm trở lên</w:t>
            </w:r>
          </w:p>
        </w:tc>
        <w:tc>
          <w:tcPr>
            <w:tcW w:w="617" w:type="pct"/>
            <w:shd w:val="clear" w:color="auto" w:fill="FFFFFF"/>
            <w:vAlign w:val="center"/>
          </w:tcPr>
          <w:p w14:paraId="6A4076DA"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5,0</w:t>
            </w:r>
          </w:p>
        </w:tc>
      </w:tr>
      <w:tr w:rsidR="00D75221" w:rsidRPr="00A63472" w14:paraId="39AFE818" w14:textId="77777777" w:rsidTr="009D4BB0">
        <w:tc>
          <w:tcPr>
            <w:tcW w:w="351" w:type="pct"/>
            <w:shd w:val="clear" w:color="auto" w:fill="FFFFFF"/>
            <w:vAlign w:val="center"/>
          </w:tcPr>
          <w:p w14:paraId="4E2C329C"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9.</w:t>
            </w:r>
          </w:p>
        </w:tc>
        <w:tc>
          <w:tcPr>
            <w:tcW w:w="4032" w:type="pct"/>
            <w:shd w:val="clear" w:color="auto" w:fill="FFFFFF"/>
            <w:vAlign w:val="center"/>
          </w:tcPr>
          <w:p w14:paraId="109E57ED"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i/>
                <w:iCs/>
                <w:color w:val="auto"/>
                <w:sz w:val="27"/>
                <w:szCs w:val="27"/>
                <w:lang w:val="en-US" w:eastAsia="en-US"/>
              </w:rPr>
              <w:t>Số thuế thu nhập doanh nghiệp hoặc khoản tiền nộp vào ngân sách Nhà nước đối với Trung tâm dịch vụ đấu giá tài sản trong năm trước liền kề, trừ thuế giá trị gia tăng (Số thuế thu nhập doanh nghiệp phải nộp theo Tờ khai quyết toán thuế thu nhập doanh nghiệp trong báo cáo tài chính và số thuế thực nộp được cơ quan thuế xác nhận bằng chứng từ điện tử;</w:t>
            </w:r>
            <w:r w:rsidRPr="00A63472">
              <w:rPr>
                <w:rFonts w:ascii="Times New Roman" w:eastAsia="Times New Roman" w:hAnsi="Times New Roman" w:cs="Times New Roman"/>
                <w:b/>
                <w:bCs/>
                <w:color w:val="auto"/>
                <w:sz w:val="27"/>
                <w:szCs w:val="27"/>
                <w:lang w:val="en-US" w:eastAsia="en-US"/>
              </w:rPr>
              <w:t xml:space="preserve"> </w:t>
            </w:r>
            <w:r w:rsidRPr="00A63472">
              <w:rPr>
                <w:rFonts w:ascii="Times New Roman" w:eastAsia="Times New Roman" w:hAnsi="Times New Roman" w:cs="Times New Roman"/>
                <w:b/>
                <w:bCs/>
                <w:i/>
                <w:iCs/>
                <w:color w:val="auto"/>
                <w:sz w:val="27"/>
                <w:szCs w:val="27"/>
                <w:lang w:val="en-US" w:eastAsia="en-US"/>
              </w:rPr>
              <w:t>đối với Trung tâm dịch vụ đấu giá tài sản thì có văn bản về việc thực hiện nghĩa vụ thuế với ngân sách Nhà nước)</w:t>
            </w:r>
          </w:p>
          <w:p w14:paraId="259FDCFE"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Chỉ chọn chấm điểm một trong các tiêu chí.</w:t>
            </w:r>
          </w:p>
        </w:tc>
        <w:tc>
          <w:tcPr>
            <w:tcW w:w="617" w:type="pct"/>
            <w:shd w:val="clear" w:color="auto" w:fill="FFFFFF"/>
            <w:vAlign w:val="center"/>
          </w:tcPr>
          <w:p w14:paraId="00EDB11A" w14:textId="77777777" w:rsidR="00D75221" w:rsidRPr="00A63472" w:rsidRDefault="00D75221" w:rsidP="009D4BB0">
            <w:pPr>
              <w:widowControl/>
              <w:spacing w:before="120"/>
              <w:jc w:val="center"/>
              <w:rPr>
                <w:rFonts w:ascii="Times New Roman" w:eastAsia="Times New Roman" w:hAnsi="Times New Roman" w:cs="Times New Roman"/>
                <w:b/>
                <w:color w:val="auto"/>
                <w:sz w:val="27"/>
                <w:szCs w:val="27"/>
                <w:lang w:val="en-US" w:eastAsia="en-US"/>
              </w:rPr>
            </w:pPr>
            <w:r w:rsidRPr="00A63472">
              <w:rPr>
                <w:rFonts w:ascii="Times New Roman" w:eastAsia="Times New Roman" w:hAnsi="Times New Roman" w:cs="Times New Roman"/>
                <w:b/>
                <w:color w:val="auto"/>
                <w:sz w:val="27"/>
                <w:szCs w:val="27"/>
                <w:lang w:val="en-US" w:eastAsia="en-US"/>
              </w:rPr>
              <w:t>5,0</w:t>
            </w:r>
          </w:p>
        </w:tc>
      </w:tr>
      <w:tr w:rsidR="00D75221" w:rsidRPr="00A63472" w14:paraId="7A3EA757" w14:textId="77777777" w:rsidTr="009D4BB0">
        <w:tc>
          <w:tcPr>
            <w:tcW w:w="351" w:type="pct"/>
            <w:shd w:val="clear" w:color="auto" w:fill="FFFFFF"/>
            <w:vAlign w:val="center"/>
          </w:tcPr>
          <w:p w14:paraId="2C67BCA9"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9.1</w:t>
            </w:r>
          </w:p>
        </w:tc>
        <w:tc>
          <w:tcPr>
            <w:tcW w:w="4032" w:type="pct"/>
            <w:shd w:val="clear" w:color="auto" w:fill="FFFFFF"/>
            <w:vAlign w:val="center"/>
          </w:tcPr>
          <w:p w14:paraId="22BD5977"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Dưới 50 triệu đồng</w:t>
            </w:r>
          </w:p>
        </w:tc>
        <w:tc>
          <w:tcPr>
            <w:tcW w:w="617" w:type="pct"/>
            <w:shd w:val="clear" w:color="auto" w:fill="FFFFFF"/>
            <w:vAlign w:val="center"/>
          </w:tcPr>
          <w:p w14:paraId="551DFB4D"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3,0</w:t>
            </w:r>
          </w:p>
        </w:tc>
      </w:tr>
      <w:tr w:rsidR="00D75221" w:rsidRPr="00A63472" w14:paraId="74A25D9D" w14:textId="77777777" w:rsidTr="009D4BB0">
        <w:tc>
          <w:tcPr>
            <w:tcW w:w="351" w:type="pct"/>
            <w:shd w:val="clear" w:color="auto" w:fill="FFFFFF"/>
            <w:vAlign w:val="center"/>
          </w:tcPr>
          <w:p w14:paraId="50A6A3CC"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9.2</w:t>
            </w:r>
          </w:p>
        </w:tc>
        <w:tc>
          <w:tcPr>
            <w:tcW w:w="4032" w:type="pct"/>
            <w:shd w:val="clear" w:color="auto" w:fill="FFFFFF"/>
            <w:vAlign w:val="center"/>
          </w:tcPr>
          <w:p w14:paraId="23E6B83B"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50 triệu đồng đến dưới 100 triệu đồng</w:t>
            </w:r>
          </w:p>
        </w:tc>
        <w:tc>
          <w:tcPr>
            <w:tcW w:w="617" w:type="pct"/>
            <w:shd w:val="clear" w:color="auto" w:fill="FFFFFF"/>
            <w:vAlign w:val="center"/>
          </w:tcPr>
          <w:p w14:paraId="65367138"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4,0</w:t>
            </w:r>
          </w:p>
        </w:tc>
      </w:tr>
      <w:tr w:rsidR="00D75221" w:rsidRPr="00A63472" w14:paraId="69028DD7" w14:textId="77777777" w:rsidTr="009D4BB0">
        <w:tc>
          <w:tcPr>
            <w:tcW w:w="351" w:type="pct"/>
            <w:shd w:val="clear" w:color="auto" w:fill="FFFFFF"/>
            <w:vAlign w:val="center"/>
          </w:tcPr>
          <w:p w14:paraId="13EE3BEF"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9.3</w:t>
            </w:r>
          </w:p>
        </w:tc>
        <w:tc>
          <w:tcPr>
            <w:tcW w:w="4032" w:type="pct"/>
            <w:shd w:val="clear" w:color="auto" w:fill="FFFFFF"/>
            <w:vAlign w:val="center"/>
          </w:tcPr>
          <w:p w14:paraId="357E08E1" w14:textId="77777777"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Từ 100 triệu đồng trở lên</w:t>
            </w:r>
          </w:p>
        </w:tc>
        <w:tc>
          <w:tcPr>
            <w:tcW w:w="617" w:type="pct"/>
            <w:shd w:val="clear" w:color="auto" w:fill="FFFFFF"/>
            <w:vAlign w:val="center"/>
          </w:tcPr>
          <w:p w14:paraId="3F277D66"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i/>
                <w:iCs/>
                <w:color w:val="auto"/>
                <w:sz w:val="27"/>
                <w:szCs w:val="27"/>
                <w:lang w:val="en-US" w:eastAsia="en-US"/>
              </w:rPr>
              <w:t>5,0</w:t>
            </w:r>
          </w:p>
        </w:tc>
      </w:tr>
      <w:tr w:rsidR="00D75221" w:rsidRPr="00A63472" w14:paraId="7527873F" w14:textId="77777777" w:rsidTr="009D4BB0">
        <w:tc>
          <w:tcPr>
            <w:tcW w:w="351" w:type="pct"/>
            <w:shd w:val="clear" w:color="auto" w:fill="FFFFFF"/>
            <w:vAlign w:val="center"/>
          </w:tcPr>
          <w:p w14:paraId="22085E81" w14:textId="77777777" w:rsidR="00D75221" w:rsidRPr="00A63472" w:rsidRDefault="00D75221" w:rsidP="009D4BB0">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V</w:t>
            </w:r>
          </w:p>
        </w:tc>
        <w:tc>
          <w:tcPr>
            <w:tcW w:w="4032" w:type="pct"/>
            <w:shd w:val="clear" w:color="auto" w:fill="FFFFFF"/>
            <w:vAlign w:val="center"/>
          </w:tcPr>
          <w:p w14:paraId="361E35D5" w14:textId="37CC7281" w:rsidR="00D75221" w:rsidRPr="00A63472" w:rsidRDefault="00D75221" w:rsidP="009D4BB0">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 xml:space="preserve">Tiêu chí khác phù hợp với tài sản đấu giá do người có tài sản đấu giá quyết định </w:t>
            </w:r>
          </w:p>
        </w:tc>
        <w:tc>
          <w:tcPr>
            <w:tcW w:w="617" w:type="pct"/>
            <w:shd w:val="clear" w:color="auto" w:fill="FFFFFF"/>
            <w:vAlign w:val="center"/>
          </w:tcPr>
          <w:p w14:paraId="40040458" w14:textId="77777777" w:rsidR="00D75221" w:rsidRPr="00A63472" w:rsidRDefault="00D75221" w:rsidP="009D4BB0">
            <w:pPr>
              <w:widowControl/>
              <w:spacing w:before="120"/>
              <w:jc w:val="center"/>
              <w:rPr>
                <w:rFonts w:ascii="Times New Roman" w:eastAsia="Times New Roman" w:hAnsi="Times New Roman" w:cs="Times New Roman"/>
                <w:b/>
                <w:color w:val="auto"/>
                <w:sz w:val="27"/>
                <w:szCs w:val="27"/>
                <w:lang w:val="en-US" w:eastAsia="en-US"/>
              </w:rPr>
            </w:pPr>
            <w:r w:rsidRPr="00A63472">
              <w:rPr>
                <w:rFonts w:ascii="Times New Roman" w:eastAsia="Times New Roman" w:hAnsi="Times New Roman" w:cs="Times New Roman"/>
                <w:b/>
                <w:color w:val="auto"/>
                <w:sz w:val="27"/>
                <w:szCs w:val="27"/>
                <w:lang w:val="en-US" w:eastAsia="en-US"/>
              </w:rPr>
              <w:t>8,0</w:t>
            </w:r>
          </w:p>
        </w:tc>
      </w:tr>
      <w:tr w:rsidR="0064363C" w:rsidRPr="00A63472" w14:paraId="12438196" w14:textId="77777777" w:rsidTr="009D4BB0">
        <w:tc>
          <w:tcPr>
            <w:tcW w:w="351" w:type="pct"/>
            <w:shd w:val="clear" w:color="auto" w:fill="FFFFFF"/>
            <w:vAlign w:val="center"/>
          </w:tcPr>
          <w:p w14:paraId="511FF84E" w14:textId="1B6702B7" w:rsidR="0064363C" w:rsidRPr="00A63472" w:rsidRDefault="0064363C" w:rsidP="0064363C">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1</w:t>
            </w:r>
          </w:p>
        </w:tc>
        <w:tc>
          <w:tcPr>
            <w:tcW w:w="4032" w:type="pct"/>
            <w:shd w:val="clear" w:color="auto" w:fill="FFFFFF"/>
            <w:vAlign w:val="center"/>
          </w:tcPr>
          <w:p w14:paraId="5285A8C5" w14:textId="44272E00" w:rsidR="0064363C" w:rsidRPr="00A63472" w:rsidRDefault="00FA2A65" w:rsidP="00FA2A65">
            <w:pPr>
              <w:pStyle w:val="NormalWeb"/>
              <w:spacing w:before="120" w:after="120" w:line="234" w:lineRule="atLeast"/>
              <w:rPr>
                <w:sz w:val="27"/>
                <w:szCs w:val="27"/>
              </w:rPr>
            </w:pPr>
            <w:r w:rsidRPr="00A63472">
              <w:rPr>
                <w:sz w:val="27"/>
                <w:szCs w:val="27"/>
              </w:rPr>
              <w:t>Đã tổ chức đấu giá thành tài sản cùng loại với tài sản đưa ra đấu giá</w:t>
            </w:r>
          </w:p>
        </w:tc>
        <w:tc>
          <w:tcPr>
            <w:tcW w:w="617" w:type="pct"/>
            <w:shd w:val="clear" w:color="auto" w:fill="FFFFFF"/>
            <w:vAlign w:val="center"/>
          </w:tcPr>
          <w:p w14:paraId="6CA85EA3" w14:textId="6555C987" w:rsidR="0064363C" w:rsidRPr="00A63472" w:rsidRDefault="00F01DCC" w:rsidP="0064363C">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eastAsia="en-US"/>
              </w:rPr>
              <w:t>2</w:t>
            </w:r>
            <w:r w:rsidR="00FA2A65" w:rsidRPr="00A63472">
              <w:rPr>
                <w:rFonts w:ascii="Times New Roman" w:eastAsia="Times New Roman" w:hAnsi="Times New Roman" w:cs="Times New Roman"/>
                <w:color w:val="auto"/>
                <w:sz w:val="27"/>
                <w:szCs w:val="27"/>
                <w:lang w:val="en-US" w:eastAsia="en-US"/>
              </w:rPr>
              <w:t>,0</w:t>
            </w:r>
          </w:p>
        </w:tc>
      </w:tr>
      <w:tr w:rsidR="00FA2A65" w:rsidRPr="00A63472" w14:paraId="7A4A561E" w14:textId="77777777" w:rsidTr="009D4BB0">
        <w:tc>
          <w:tcPr>
            <w:tcW w:w="351" w:type="pct"/>
            <w:shd w:val="clear" w:color="auto" w:fill="FFFFFF"/>
            <w:vAlign w:val="center"/>
          </w:tcPr>
          <w:p w14:paraId="07F64FC9" w14:textId="56F65AD2" w:rsidR="00FA2A65" w:rsidRPr="00A63472" w:rsidRDefault="00F01DCC" w:rsidP="00FA2A65">
            <w:pPr>
              <w:widowControl/>
              <w:spacing w:before="120"/>
              <w:jc w:val="center"/>
              <w:rPr>
                <w:rFonts w:ascii="Times New Roman" w:eastAsia="Times New Roman" w:hAnsi="Times New Roman" w:cs="Times New Roman"/>
                <w:color w:val="auto"/>
                <w:sz w:val="27"/>
                <w:szCs w:val="27"/>
                <w:lang w:eastAsia="en-US"/>
              </w:rPr>
            </w:pPr>
            <w:r w:rsidRPr="00A63472">
              <w:rPr>
                <w:rFonts w:ascii="Times New Roman" w:eastAsia="Times New Roman" w:hAnsi="Times New Roman" w:cs="Times New Roman"/>
                <w:color w:val="auto"/>
                <w:sz w:val="27"/>
                <w:szCs w:val="27"/>
                <w:lang w:eastAsia="en-US"/>
              </w:rPr>
              <w:t>2</w:t>
            </w:r>
          </w:p>
        </w:tc>
        <w:tc>
          <w:tcPr>
            <w:tcW w:w="4032" w:type="pct"/>
            <w:shd w:val="clear" w:color="auto" w:fill="FFFFFF"/>
            <w:vAlign w:val="center"/>
          </w:tcPr>
          <w:p w14:paraId="0F5F8473" w14:textId="46995102" w:rsidR="00FA2A65" w:rsidRPr="00A63472" w:rsidRDefault="00FA2A65" w:rsidP="00FA2A65">
            <w:pPr>
              <w:widowControl/>
              <w:spacing w:before="120"/>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Trụ sở chính của tổ chức hành nghề đấu giá tài sản trong phạm vi tỉnh, thành phố nơi có tài sản đấu giá, không bao gồm trụ sở chi nhánh.</w:t>
            </w:r>
          </w:p>
        </w:tc>
        <w:tc>
          <w:tcPr>
            <w:tcW w:w="617" w:type="pct"/>
            <w:shd w:val="clear" w:color="auto" w:fill="FFFFFF"/>
            <w:vAlign w:val="center"/>
          </w:tcPr>
          <w:p w14:paraId="5E68EC9E" w14:textId="02C59DC3" w:rsidR="00FA2A65" w:rsidRPr="00A63472" w:rsidRDefault="00FA2A65" w:rsidP="00FA2A65">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4,0</w:t>
            </w:r>
          </w:p>
        </w:tc>
      </w:tr>
      <w:tr w:rsidR="00F01DCC" w:rsidRPr="00A63472" w14:paraId="15A2732C" w14:textId="77777777" w:rsidTr="009D4BB0">
        <w:tc>
          <w:tcPr>
            <w:tcW w:w="351" w:type="pct"/>
            <w:shd w:val="clear" w:color="auto" w:fill="FFFFFF"/>
            <w:vAlign w:val="center"/>
          </w:tcPr>
          <w:p w14:paraId="23B5A8FB" w14:textId="4407034E" w:rsidR="00F01DCC" w:rsidRPr="00A63472" w:rsidRDefault="00F01DCC" w:rsidP="00FA2A65">
            <w:pPr>
              <w:widowControl/>
              <w:spacing w:before="120"/>
              <w:jc w:val="center"/>
              <w:rPr>
                <w:rFonts w:ascii="Times New Roman" w:eastAsia="Times New Roman" w:hAnsi="Times New Roman" w:cs="Times New Roman"/>
                <w:color w:val="auto"/>
                <w:sz w:val="27"/>
                <w:szCs w:val="27"/>
                <w:lang w:eastAsia="en-US"/>
              </w:rPr>
            </w:pPr>
            <w:r w:rsidRPr="00A63472">
              <w:rPr>
                <w:rFonts w:ascii="Times New Roman" w:eastAsia="Times New Roman" w:hAnsi="Times New Roman" w:cs="Times New Roman"/>
                <w:color w:val="auto"/>
                <w:sz w:val="27"/>
                <w:szCs w:val="27"/>
                <w:lang w:eastAsia="en-US"/>
              </w:rPr>
              <w:t>3</w:t>
            </w:r>
          </w:p>
        </w:tc>
        <w:tc>
          <w:tcPr>
            <w:tcW w:w="4032" w:type="pct"/>
            <w:shd w:val="clear" w:color="auto" w:fill="FFFFFF"/>
            <w:vAlign w:val="center"/>
          </w:tcPr>
          <w:p w14:paraId="0B2068B3" w14:textId="5D3277BE" w:rsidR="00F01DCC" w:rsidRPr="00A63472" w:rsidRDefault="00F01DCC" w:rsidP="00F01DCC">
            <w:pPr>
              <w:widowControl/>
              <w:spacing w:before="120"/>
              <w:jc w:val="both"/>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 xml:space="preserve">Đã từng ký kết hợp đồng dịch vụ đấu giá tài sản với người có tài sản đấu giá (hoặc Chi cục Thi hành án dân sự thành phố Phúc Yên, Chi </w:t>
            </w:r>
            <w:r w:rsidRPr="00A63472">
              <w:rPr>
                <w:rFonts w:ascii="Times New Roman" w:eastAsia="Times New Roman" w:hAnsi="Times New Roman" w:cs="Times New Roman"/>
                <w:color w:val="auto"/>
                <w:sz w:val="27"/>
                <w:szCs w:val="27"/>
                <w:lang w:val="en-US" w:eastAsia="en-US"/>
              </w:rPr>
              <w:lastRenderedPageBreak/>
              <w:t>cục Thi hành án dân sự huyện Bình Xuyên trước sáp nhập) và đã tổ chức cuộc đấu giá thành theo hợp đồng đó</w:t>
            </w:r>
          </w:p>
        </w:tc>
        <w:tc>
          <w:tcPr>
            <w:tcW w:w="617" w:type="pct"/>
            <w:shd w:val="clear" w:color="auto" w:fill="FFFFFF"/>
            <w:vAlign w:val="center"/>
          </w:tcPr>
          <w:p w14:paraId="755D4163" w14:textId="501E7B3B" w:rsidR="00F01DCC" w:rsidRPr="00A63472" w:rsidRDefault="00F01DCC" w:rsidP="00FA2A65">
            <w:pPr>
              <w:widowControl/>
              <w:spacing w:before="120"/>
              <w:jc w:val="center"/>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eastAsia="en-US"/>
              </w:rPr>
              <w:lastRenderedPageBreak/>
              <w:t>2,0</w:t>
            </w:r>
          </w:p>
        </w:tc>
      </w:tr>
      <w:tr w:rsidR="00FA2A65" w:rsidRPr="00A63472" w14:paraId="3EFB46A4" w14:textId="77777777" w:rsidTr="009D4BB0">
        <w:tc>
          <w:tcPr>
            <w:tcW w:w="4383" w:type="pct"/>
            <w:gridSpan w:val="2"/>
            <w:shd w:val="clear" w:color="auto" w:fill="FFFFFF"/>
            <w:vAlign w:val="center"/>
          </w:tcPr>
          <w:p w14:paraId="7B76A6B2" w14:textId="77777777" w:rsidR="00FA2A65" w:rsidRPr="00A63472" w:rsidRDefault="00FA2A65" w:rsidP="00FA2A65">
            <w:pPr>
              <w:widowControl/>
              <w:spacing w:before="120"/>
              <w:jc w:val="center"/>
              <w:rPr>
                <w:rFonts w:ascii="Times New Roman" w:eastAsia="Times New Roman" w:hAnsi="Times New Roman" w:cs="Times New Roman"/>
                <w:b/>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Tổng số điểm</w:t>
            </w:r>
          </w:p>
        </w:tc>
        <w:tc>
          <w:tcPr>
            <w:tcW w:w="617" w:type="pct"/>
            <w:shd w:val="clear" w:color="auto" w:fill="FFFFFF"/>
            <w:vAlign w:val="center"/>
          </w:tcPr>
          <w:p w14:paraId="11E5FBD8" w14:textId="0F99B5FE" w:rsidR="00FA2A65" w:rsidRPr="00A63472" w:rsidRDefault="00FA2A65" w:rsidP="00FA2A65">
            <w:pPr>
              <w:widowControl/>
              <w:spacing w:before="120"/>
              <w:jc w:val="center"/>
              <w:rPr>
                <w:rFonts w:ascii="Times New Roman" w:eastAsia="Times New Roman" w:hAnsi="Times New Roman" w:cs="Times New Roman"/>
                <w:b/>
                <w:color w:val="auto"/>
                <w:sz w:val="27"/>
                <w:szCs w:val="27"/>
                <w:lang w:val="en-US" w:eastAsia="en-US"/>
              </w:rPr>
            </w:pPr>
            <w:r w:rsidRPr="00A63472">
              <w:rPr>
                <w:rFonts w:ascii="Times New Roman" w:eastAsia="Times New Roman" w:hAnsi="Times New Roman" w:cs="Times New Roman"/>
                <w:b/>
                <w:color w:val="auto"/>
                <w:sz w:val="27"/>
                <w:szCs w:val="27"/>
                <w:lang w:val="en-US" w:eastAsia="en-US"/>
              </w:rPr>
              <w:t>100</w:t>
            </w:r>
          </w:p>
        </w:tc>
      </w:tr>
    </w:tbl>
    <w:p w14:paraId="48D1CBC2" w14:textId="77777777" w:rsidR="00D75221" w:rsidRPr="00A63472" w:rsidRDefault="00D75221" w:rsidP="009113E3">
      <w:pPr>
        <w:widowControl/>
        <w:spacing w:before="120"/>
        <w:jc w:val="both"/>
        <w:rPr>
          <w:rFonts w:ascii="Times New Roman" w:eastAsia="Times New Roman" w:hAnsi="Times New Roman" w:cs="Times New Roman"/>
          <w:b/>
          <w:color w:val="auto"/>
          <w:sz w:val="27"/>
          <w:szCs w:val="27"/>
          <w:lang w:val="en-US" w:eastAsia="en-US"/>
        </w:rPr>
      </w:pPr>
      <w:r w:rsidRPr="00A63472">
        <w:rPr>
          <w:rFonts w:ascii="Times New Roman" w:eastAsia="Times New Roman" w:hAnsi="Times New Roman" w:cs="Times New Roman"/>
          <w:b/>
          <w:bCs/>
          <w:color w:val="auto"/>
          <w:sz w:val="27"/>
          <w:szCs w:val="27"/>
          <w:lang w:val="en-US" w:eastAsia="en-US"/>
        </w:rPr>
        <w:t>Ghi chú:</w:t>
      </w:r>
    </w:p>
    <w:p w14:paraId="3382A493" w14:textId="77777777" w:rsidR="00D75221" w:rsidRPr="00A63472" w:rsidRDefault="00D75221" w:rsidP="009113E3">
      <w:pPr>
        <w:widowControl/>
        <w:spacing w:before="120"/>
        <w:jc w:val="both"/>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 xml:space="preserve">1. Tiêu chí đánh giá chấm điểm tại Phụ lục này không bao gồm tài sản đấu giá là biển số xe theo quy định của </w:t>
      </w:r>
      <w:bookmarkStart w:id="7" w:name="tvpllink_aebadsyxvg"/>
      <w:r w:rsidRPr="00A63472">
        <w:rPr>
          <w:rFonts w:ascii="Times New Roman" w:eastAsia="Times New Roman" w:hAnsi="Times New Roman" w:cs="Times New Roman"/>
          <w:color w:val="auto"/>
          <w:sz w:val="27"/>
          <w:szCs w:val="27"/>
          <w:lang w:val="en-US" w:eastAsia="en-US"/>
        </w:rPr>
        <w:t>Luật Trật tự, an toàn giao thông đường bộ</w:t>
      </w:r>
      <w:bookmarkEnd w:id="7"/>
      <w:r w:rsidRPr="00A63472">
        <w:rPr>
          <w:rFonts w:ascii="Times New Roman" w:eastAsia="Times New Roman" w:hAnsi="Times New Roman" w:cs="Times New Roman"/>
          <w:color w:val="auto"/>
          <w:sz w:val="27"/>
          <w:szCs w:val="27"/>
          <w:lang w:val="en-US" w:eastAsia="en-US"/>
        </w:rPr>
        <w:t xml:space="preserve"> và tài sản thuộc sở hữu của cá nhân, tổ chức tự nguyện đấu giá.</w:t>
      </w:r>
    </w:p>
    <w:p w14:paraId="35F05FBD" w14:textId="77777777" w:rsidR="00D75221" w:rsidRPr="00A63472" w:rsidRDefault="00D75221" w:rsidP="009113E3">
      <w:pPr>
        <w:widowControl/>
        <w:spacing w:before="120"/>
        <w:jc w:val="both"/>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 xml:space="preserve">2. Cuộc đấu giá thành quy định tại mục 1, mục 2, mục 3 và mục 4 phần IV Phụ lục này là cuộc đấu giá có ít nhất một tài sản đấu giá thành. Cuộc đấu giá không thành quy định tại mục 1 Phần IV Phụ lục này là cuộc đấu giá không có tài sản nào đấu giá thành và thuộc trường hợp quy định tại </w:t>
      </w:r>
      <w:bookmarkStart w:id="8" w:name="dc_27"/>
      <w:r w:rsidRPr="00A63472">
        <w:rPr>
          <w:rFonts w:ascii="Times New Roman" w:eastAsia="Times New Roman" w:hAnsi="Times New Roman" w:cs="Times New Roman"/>
          <w:color w:val="auto"/>
          <w:sz w:val="27"/>
          <w:szCs w:val="27"/>
          <w:lang w:val="en-US" w:eastAsia="en-US"/>
        </w:rPr>
        <w:t>Điều 52 Luật đấu giá tài sản</w:t>
      </w:r>
      <w:bookmarkEnd w:id="8"/>
      <w:r w:rsidRPr="00A63472">
        <w:rPr>
          <w:rFonts w:ascii="Times New Roman" w:eastAsia="Times New Roman" w:hAnsi="Times New Roman" w:cs="Times New Roman"/>
          <w:color w:val="auto"/>
          <w:sz w:val="27"/>
          <w:szCs w:val="27"/>
          <w:lang w:val="en-US" w:eastAsia="en-US"/>
        </w:rPr>
        <w:t xml:space="preserve"> được sửa đổi bổ sung theo </w:t>
      </w:r>
      <w:bookmarkStart w:id="9" w:name="dc_28"/>
      <w:r w:rsidRPr="00A63472">
        <w:rPr>
          <w:rFonts w:ascii="Times New Roman" w:eastAsia="Times New Roman" w:hAnsi="Times New Roman" w:cs="Times New Roman"/>
          <w:color w:val="auto"/>
          <w:sz w:val="27"/>
          <w:szCs w:val="27"/>
          <w:lang w:val="en-US" w:eastAsia="en-US"/>
        </w:rPr>
        <w:t>khoản 33 và điểm q khoản 45 Điều 1 của Luật sửa đổi, bổ sung một số điều của Luật đấu giá tài sản</w:t>
      </w:r>
      <w:bookmarkEnd w:id="9"/>
      <w:r w:rsidRPr="00A63472">
        <w:rPr>
          <w:rFonts w:ascii="Times New Roman" w:eastAsia="Times New Roman" w:hAnsi="Times New Roman" w:cs="Times New Roman"/>
          <w:color w:val="auto"/>
          <w:sz w:val="27"/>
          <w:szCs w:val="27"/>
          <w:lang w:val="en-US" w:eastAsia="en-US"/>
        </w:rPr>
        <w:t>.</w:t>
      </w:r>
    </w:p>
    <w:p w14:paraId="6195A24F" w14:textId="77777777" w:rsidR="00D75221" w:rsidRPr="00A63472" w:rsidRDefault="00D75221" w:rsidP="009113E3">
      <w:pPr>
        <w:widowControl/>
        <w:spacing w:before="120"/>
        <w:jc w:val="both"/>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3. Năm trước liền kề tại mục 4 phần II, mục 1, mục 2, mục 3, mục 4 và mục 9 phần IV Phụ lục này được tính từ ngày 01/01 đến hết ngày 31/12.</w:t>
      </w:r>
    </w:p>
    <w:p w14:paraId="4480A9EF" w14:textId="77777777" w:rsidR="00D75221" w:rsidRPr="00A63472" w:rsidRDefault="00D75221" w:rsidP="009113E3">
      <w:pPr>
        <w:widowControl/>
        <w:spacing w:before="120"/>
        <w:jc w:val="both"/>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4. Trường hợp tổ chức hành nghề đấu giá tài sản nộp hồ sơ tham gia lựa chọn từ ngày 01/01 đến ngày 31/3 hàng năm thì số thuế thu nhập doanh nghiệp hoặc khoản tiền nộp vào ngân sách Nhà nước được tính theo kỳ tính thuế của năm trước của năm liền kề. Trường hợp tổ chức hành nghề đấu giá tài sản nộp hồ sơ tham gia lựa chọn từ ngày 01/4 hàng năm trở đi thì số thuế thu nhập doanh nghiệp hoặc khoản tiền nộp vào ngân sách Nhà nước được tính theo kỳ tính thuế của năm trước liền kề.</w:t>
      </w:r>
    </w:p>
    <w:p w14:paraId="17040B9F" w14:textId="77777777" w:rsidR="00D75221" w:rsidRPr="00A63472" w:rsidRDefault="00D75221" w:rsidP="009113E3">
      <w:pPr>
        <w:widowControl/>
        <w:spacing w:before="120"/>
        <w:jc w:val="both"/>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5. Hồ sơ tham gia lựa chọn do tổ chức hành nghề đấu giá tài sản xây dựng, có dấu xác nhận của tổ chức hành nghề đấu giá tài sản bao gồm thông tin đầy đủ về các nhóm tiêu chí, tiêu chí thành phần quy định tại Phụ lục này.</w:t>
      </w:r>
    </w:p>
    <w:p w14:paraId="113E856B" w14:textId="77777777" w:rsidR="00D75221" w:rsidRPr="00A63472" w:rsidRDefault="00D75221" w:rsidP="009113E3">
      <w:pPr>
        <w:widowControl/>
        <w:spacing w:before="120"/>
        <w:jc w:val="both"/>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Trong trường hợp người đại diện theo pháp luật, đấu giá viên của tổ chức bị kết án bằng bản án có hiệu lực pháp luật về tội vi phạm quy định về hoạt động đấu giá tài sản; tổ chức hành nghề đấu giá tài sản, đấu giá viên bị xử lý vi phạm hành chính; tổ chức hành nghề đấu giá tài sản bị cơ quan có thẩm quyền xác định không thực hiện thông báo công khai việc đấu giá tài sản trên Cổng đấu giá tài sản quốc gia trong thời hạn 12 tháng tính đến ngày nộp hồ sơ thì tổ chức hành nghề đấu giá tài sản có trách nhiệm cung cấp các thông tin này.</w:t>
      </w:r>
    </w:p>
    <w:p w14:paraId="26910542" w14:textId="77777777" w:rsidR="00D75221" w:rsidRPr="00A63472" w:rsidRDefault="00D75221" w:rsidP="009113E3">
      <w:pPr>
        <w:widowControl/>
        <w:spacing w:before="120"/>
        <w:jc w:val="both"/>
        <w:rPr>
          <w:rFonts w:ascii="Times New Roman" w:eastAsia="Times New Roman" w:hAnsi="Times New Roman" w:cs="Times New Roman"/>
          <w:color w:val="auto"/>
          <w:sz w:val="27"/>
          <w:szCs w:val="27"/>
          <w:lang w:val="en-US" w:eastAsia="en-US"/>
        </w:rPr>
      </w:pPr>
      <w:r w:rsidRPr="00A63472">
        <w:rPr>
          <w:rFonts w:ascii="Times New Roman" w:eastAsia="Times New Roman" w:hAnsi="Times New Roman" w:cs="Times New Roman"/>
          <w:color w:val="auto"/>
          <w:sz w:val="27"/>
          <w:szCs w:val="27"/>
          <w:lang w:val="en-US" w:eastAsia="en-US"/>
        </w:rPr>
        <w:t>6. Tổ chức hành nghề đấu giá tài sản chịu trách nhiệm đối với thông tin, giấy tờ, tài liệu chứng minh trong hồ sơ tham gia lựa chọn của mình. Tổ chức hành nghề đấu giá tài sản có thể gửi kèm theo bản đánh máy hoặc bản chụp các giấy tờ, tài liệu chứng minh trong hồ sơ tham gia lựa chọn của mình. Người có tài sản đấu giá không được yêu cầu tổ chức hành nghề đấu giá tài sản nộp hoặc cung cấp bản chính hoặc bản sao các giấy tờ, tài liệu chứng minh trong thông báo lựa chọn tổ chức hành nghề đấu giá tài sản.</w:t>
      </w:r>
    </w:p>
    <w:p w14:paraId="74C861C1" w14:textId="77777777" w:rsidR="00D75221" w:rsidRPr="00A63472" w:rsidRDefault="00D75221">
      <w:pPr>
        <w:rPr>
          <w:rFonts w:ascii="Times New Roman" w:hAnsi="Times New Roman" w:cs="Times New Roman"/>
          <w:sz w:val="27"/>
          <w:szCs w:val="27"/>
          <w:lang w:val="en-US"/>
        </w:rPr>
      </w:pPr>
    </w:p>
    <w:sectPr w:rsidR="00D75221" w:rsidRPr="00A63472" w:rsidSect="00D75221">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0NDM0MLIwNzc3NbNU0lEKTi0uzszPAykwrAUAyhCecCwAAAA="/>
  </w:docVars>
  <w:rsids>
    <w:rsidRoot w:val="00D75221"/>
    <w:rsid w:val="00323A10"/>
    <w:rsid w:val="0064363C"/>
    <w:rsid w:val="009113E3"/>
    <w:rsid w:val="0093487F"/>
    <w:rsid w:val="00967847"/>
    <w:rsid w:val="009F7807"/>
    <w:rsid w:val="00A63472"/>
    <w:rsid w:val="00C92C4F"/>
    <w:rsid w:val="00D75221"/>
    <w:rsid w:val="00F01DCC"/>
    <w:rsid w:val="00F8343A"/>
    <w:rsid w:val="00FA2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91E7"/>
  <w15:chartTrackingRefBased/>
  <w15:docId w15:val="{F38B58AD-CB46-43D0-8E55-6A8EE572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21"/>
    <w:pPr>
      <w:widowControl w:val="0"/>
      <w:spacing w:after="0" w:line="240" w:lineRule="auto"/>
    </w:pPr>
    <w:rPr>
      <w:rFonts w:ascii="Microsoft Sans Serif" w:eastAsia="Microsoft Sans Serif" w:hAnsi="Microsoft Sans Serif" w:cs="Microsoft Sans Serif"/>
      <w:color w:val="000000"/>
      <w:kern w:val="0"/>
      <w:lang w:val="vi-VN" w:eastAsia="vi-VN"/>
      <w14:ligatures w14:val="none"/>
    </w:rPr>
  </w:style>
  <w:style w:type="paragraph" w:styleId="Heading1">
    <w:name w:val="heading 1"/>
    <w:basedOn w:val="Normal"/>
    <w:next w:val="Normal"/>
    <w:link w:val="Heading1Char"/>
    <w:uiPriority w:val="9"/>
    <w:qFormat/>
    <w:rsid w:val="00D75221"/>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zh-CN"/>
      <w14:ligatures w14:val="standardContextual"/>
    </w:rPr>
  </w:style>
  <w:style w:type="paragraph" w:styleId="Heading2">
    <w:name w:val="heading 2"/>
    <w:basedOn w:val="Normal"/>
    <w:next w:val="Normal"/>
    <w:link w:val="Heading2Char"/>
    <w:uiPriority w:val="9"/>
    <w:semiHidden/>
    <w:unhideWhenUsed/>
    <w:qFormat/>
    <w:rsid w:val="00D75221"/>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zh-CN"/>
      <w14:ligatures w14:val="standardContextual"/>
    </w:rPr>
  </w:style>
  <w:style w:type="paragraph" w:styleId="Heading3">
    <w:name w:val="heading 3"/>
    <w:basedOn w:val="Normal"/>
    <w:next w:val="Normal"/>
    <w:link w:val="Heading3Char"/>
    <w:uiPriority w:val="9"/>
    <w:semiHidden/>
    <w:unhideWhenUsed/>
    <w:qFormat/>
    <w:rsid w:val="00D75221"/>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zh-CN"/>
      <w14:ligatures w14:val="standardContextual"/>
    </w:rPr>
  </w:style>
  <w:style w:type="paragraph" w:styleId="Heading4">
    <w:name w:val="heading 4"/>
    <w:basedOn w:val="Normal"/>
    <w:next w:val="Normal"/>
    <w:link w:val="Heading4Char"/>
    <w:uiPriority w:val="9"/>
    <w:semiHidden/>
    <w:unhideWhenUsed/>
    <w:qFormat/>
    <w:rsid w:val="00D75221"/>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zh-CN"/>
      <w14:ligatures w14:val="standardContextual"/>
    </w:rPr>
  </w:style>
  <w:style w:type="paragraph" w:styleId="Heading5">
    <w:name w:val="heading 5"/>
    <w:basedOn w:val="Normal"/>
    <w:next w:val="Normal"/>
    <w:link w:val="Heading5Char"/>
    <w:uiPriority w:val="9"/>
    <w:semiHidden/>
    <w:unhideWhenUsed/>
    <w:qFormat/>
    <w:rsid w:val="00D75221"/>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zh-CN"/>
      <w14:ligatures w14:val="standardContextual"/>
    </w:rPr>
  </w:style>
  <w:style w:type="paragraph" w:styleId="Heading6">
    <w:name w:val="heading 6"/>
    <w:basedOn w:val="Normal"/>
    <w:next w:val="Normal"/>
    <w:link w:val="Heading6Char"/>
    <w:uiPriority w:val="9"/>
    <w:semiHidden/>
    <w:unhideWhenUsed/>
    <w:qFormat/>
    <w:rsid w:val="00D75221"/>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zh-CN"/>
      <w14:ligatures w14:val="standardContextual"/>
    </w:rPr>
  </w:style>
  <w:style w:type="paragraph" w:styleId="Heading7">
    <w:name w:val="heading 7"/>
    <w:basedOn w:val="Normal"/>
    <w:next w:val="Normal"/>
    <w:link w:val="Heading7Char"/>
    <w:uiPriority w:val="9"/>
    <w:semiHidden/>
    <w:unhideWhenUsed/>
    <w:qFormat/>
    <w:rsid w:val="00D75221"/>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zh-CN"/>
      <w14:ligatures w14:val="standardContextual"/>
    </w:rPr>
  </w:style>
  <w:style w:type="paragraph" w:styleId="Heading8">
    <w:name w:val="heading 8"/>
    <w:basedOn w:val="Normal"/>
    <w:next w:val="Normal"/>
    <w:link w:val="Heading8Char"/>
    <w:uiPriority w:val="9"/>
    <w:semiHidden/>
    <w:unhideWhenUsed/>
    <w:qFormat/>
    <w:rsid w:val="00D75221"/>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zh-CN"/>
      <w14:ligatures w14:val="standardContextual"/>
    </w:rPr>
  </w:style>
  <w:style w:type="paragraph" w:styleId="Heading9">
    <w:name w:val="heading 9"/>
    <w:basedOn w:val="Normal"/>
    <w:next w:val="Normal"/>
    <w:link w:val="Heading9Char"/>
    <w:uiPriority w:val="9"/>
    <w:semiHidden/>
    <w:unhideWhenUsed/>
    <w:qFormat/>
    <w:rsid w:val="00D75221"/>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221"/>
    <w:rPr>
      <w:rFonts w:eastAsiaTheme="majorEastAsia" w:cstheme="majorBidi"/>
      <w:color w:val="272727" w:themeColor="text1" w:themeTint="D8"/>
    </w:rPr>
  </w:style>
  <w:style w:type="paragraph" w:styleId="Title">
    <w:name w:val="Title"/>
    <w:basedOn w:val="Normal"/>
    <w:next w:val="Normal"/>
    <w:link w:val="TitleChar"/>
    <w:uiPriority w:val="10"/>
    <w:qFormat/>
    <w:rsid w:val="00D75221"/>
    <w:pPr>
      <w:widowControl/>
      <w:spacing w:after="80"/>
      <w:contextualSpacing/>
    </w:pPr>
    <w:rPr>
      <w:rFonts w:asciiTheme="majorHAnsi" w:eastAsiaTheme="majorEastAsia" w:hAnsiTheme="majorHAnsi" w:cstheme="majorBidi"/>
      <w:color w:val="auto"/>
      <w:spacing w:val="-10"/>
      <w:kern w:val="28"/>
      <w:sz w:val="56"/>
      <w:szCs w:val="56"/>
      <w:lang w:val="en-US" w:eastAsia="zh-CN"/>
      <w14:ligatures w14:val="standardContextual"/>
    </w:rPr>
  </w:style>
  <w:style w:type="character" w:customStyle="1" w:styleId="TitleChar">
    <w:name w:val="Title Char"/>
    <w:basedOn w:val="DefaultParagraphFont"/>
    <w:link w:val="Title"/>
    <w:uiPriority w:val="10"/>
    <w:rsid w:val="00D75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221"/>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zh-CN"/>
      <w14:ligatures w14:val="standardContextual"/>
    </w:rPr>
  </w:style>
  <w:style w:type="character" w:customStyle="1" w:styleId="SubtitleChar">
    <w:name w:val="Subtitle Char"/>
    <w:basedOn w:val="DefaultParagraphFont"/>
    <w:link w:val="Subtitle"/>
    <w:uiPriority w:val="11"/>
    <w:rsid w:val="00D75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221"/>
    <w:pPr>
      <w:widowControl/>
      <w:spacing w:before="160" w:after="160" w:line="278" w:lineRule="auto"/>
      <w:jc w:val="center"/>
    </w:pPr>
    <w:rPr>
      <w:rFonts w:asciiTheme="minorHAnsi" w:eastAsiaTheme="minorEastAsia" w:hAnsiTheme="minorHAnsi" w:cstheme="minorBidi"/>
      <w:i/>
      <w:iCs/>
      <w:color w:val="404040" w:themeColor="text1" w:themeTint="BF"/>
      <w:kern w:val="2"/>
      <w:lang w:val="en-US" w:eastAsia="zh-CN"/>
      <w14:ligatures w14:val="standardContextual"/>
    </w:rPr>
  </w:style>
  <w:style w:type="character" w:customStyle="1" w:styleId="QuoteChar">
    <w:name w:val="Quote Char"/>
    <w:basedOn w:val="DefaultParagraphFont"/>
    <w:link w:val="Quote"/>
    <w:uiPriority w:val="29"/>
    <w:rsid w:val="00D75221"/>
    <w:rPr>
      <w:i/>
      <w:iCs/>
      <w:color w:val="404040" w:themeColor="text1" w:themeTint="BF"/>
    </w:rPr>
  </w:style>
  <w:style w:type="paragraph" w:styleId="ListParagraph">
    <w:name w:val="List Paragraph"/>
    <w:basedOn w:val="Normal"/>
    <w:uiPriority w:val="34"/>
    <w:qFormat/>
    <w:rsid w:val="00D75221"/>
    <w:pPr>
      <w:widowControl/>
      <w:spacing w:after="160" w:line="278" w:lineRule="auto"/>
      <w:ind w:left="720"/>
      <w:contextualSpacing/>
    </w:pPr>
    <w:rPr>
      <w:rFonts w:asciiTheme="minorHAnsi" w:eastAsiaTheme="minorEastAsia" w:hAnsiTheme="minorHAnsi" w:cstheme="minorBidi"/>
      <w:color w:val="auto"/>
      <w:kern w:val="2"/>
      <w:lang w:val="en-US" w:eastAsia="zh-CN"/>
      <w14:ligatures w14:val="standardContextual"/>
    </w:rPr>
  </w:style>
  <w:style w:type="character" w:styleId="IntenseEmphasis">
    <w:name w:val="Intense Emphasis"/>
    <w:basedOn w:val="DefaultParagraphFont"/>
    <w:uiPriority w:val="21"/>
    <w:qFormat/>
    <w:rsid w:val="00D75221"/>
    <w:rPr>
      <w:i/>
      <w:iCs/>
      <w:color w:val="0F4761" w:themeColor="accent1" w:themeShade="BF"/>
    </w:rPr>
  </w:style>
  <w:style w:type="paragraph" w:styleId="IntenseQuote">
    <w:name w:val="Intense Quote"/>
    <w:basedOn w:val="Normal"/>
    <w:next w:val="Normal"/>
    <w:link w:val="IntenseQuoteChar"/>
    <w:uiPriority w:val="30"/>
    <w:qFormat/>
    <w:rsid w:val="00D75221"/>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US" w:eastAsia="zh-CN"/>
      <w14:ligatures w14:val="standardContextual"/>
    </w:rPr>
  </w:style>
  <w:style w:type="character" w:customStyle="1" w:styleId="IntenseQuoteChar">
    <w:name w:val="Intense Quote Char"/>
    <w:basedOn w:val="DefaultParagraphFont"/>
    <w:link w:val="IntenseQuote"/>
    <w:uiPriority w:val="30"/>
    <w:rsid w:val="00D75221"/>
    <w:rPr>
      <w:i/>
      <w:iCs/>
      <w:color w:val="0F4761" w:themeColor="accent1" w:themeShade="BF"/>
    </w:rPr>
  </w:style>
  <w:style w:type="character" w:styleId="IntenseReference">
    <w:name w:val="Intense Reference"/>
    <w:basedOn w:val="DefaultParagraphFont"/>
    <w:uiPriority w:val="32"/>
    <w:qFormat/>
    <w:rsid w:val="00D75221"/>
    <w:rPr>
      <w:b/>
      <w:bCs/>
      <w:smallCaps/>
      <w:color w:val="0F4761" w:themeColor="accent1" w:themeShade="BF"/>
      <w:spacing w:val="5"/>
    </w:rPr>
  </w:style>
  <w:style w:type="paragraph" w:styleId="NormalWeb">
    <w:name w:val="Normal (Web)"/>
    <w:basedOn w:val="Normal"/>
    <w:uiPriority w:val="99"/>
    <w:unhideWhenUsed/>
    <w:rsid w:val="00C92C4F"/>
    <w:pPr>
      <w:widowControl/>
      <w:spacing w:before="100" w:beforeAutospacing="1" w:after="100" w:afterAutospacing="1"/>
    </w:pPr>
    <w:rPr>
      <w:rFonts w:ascii="Times New Roman" w:eastAsia="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26262">
      <w:bodyDiv w:val="1"/>
      <w:marLeft w:val="0"/>
      <w:marRight w:val="0"/>
      <w:marTop w:val="0"/>
      <w:marBottom w:val="0"/>
      <w:divBdr>
        <w:top w:val="none" w:sz="0" w:space="0" w:color="auto"/>
        <w:left w:val="none" w:sz="0" w:space="0" w:color="auto"/>
        <w:bottom w:val="none" w:sz="0" w:space="0" w:color="auto"/>
        <w:right w:val="none" w:sz="0" w:space="0" w:color="auto"/>
      </w:divBdr>
    </w:div>
    <w:div w:id="177281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Trương Thảo Vân</dc:creator>
  <cp:keywords/>
  <dc:description/>
  <cp:lastModifiedBy>AB</cp:lastModifiedBy>
  <cp:revision>7</cp:revision>
  <dcterms:created xsi:type="dcterms:W3CDTF">2025-08-29T04:41:00Z</dcterms:created>
  <dcterms:modified xsi:type="dcterms:W3CDTF">2026-05-04T09:24:00Z</dcterms:modified>
</cp:coreProperties>
</file>