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16FF" w14:textId="2959887A" w:rsidR="005C5CDF" w:rsidRPr="009C1702" w:rsidRDefault="000F7BD1" w:rsidP="00401BA4">
      <w:pPr>
        <w:spacing w:after="0" w:line="360" w:lineRule="exact"/>
        <w:jc w:val="center"/>
        <w:rPr>
          <w:rFonts w:ascii="Times New Roman" w:eastAsia="Times New Roman" w:hAnsi="Times New Roman" w:cs="Times New Roman"/>
          <w:b/>
          <w:sz w:val="28"/>
          <w:szCs w:val="28"/>
          <w:lang w:val="de-DE"/>
        </w:rPr>
      </w:pPr>
      <w:r w:rsidRPr="009C1702">
        <w:rPr>
          <w:rFonts w:ascii="Times New Roman" w:eastAsia="Times New Roman" w:hAnsi="Times New Roman" w:cs="Times New Roman"/>
          <w:b/>
          <w:sz w:val="28"/>
          <w:szCs w:val="28"/>
          <w:lang w:val="de-DE"/>
        </w:rPr>
        <w:t>ĐỀ CƯƠNG</w:t>
      </w:r>
    </w:p>
    <w:p w14:paraId="5F95767F" w14:textId="6AD576D3" w:rsidR="009C1702" w:rsidRDefault="009C1702" w:rsidP="00401BA4">
      <w:pPr>
        <w:spacing w:after="0" w:line="360" w:lineRule="exact"/>
        <w:jc w:val="center"/>
        <w:outlineLvl w:val="4"/>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Báo cáo rà soát, t</w:t>
      </w:r>
      <w:r w:rsidR="005C5CDF" w:rsidRPr="009C1702">
        <w:rPr>
          <w:rFonts w:ascii="Times New Roman" w:eastAsia="Times New Roman" w:hAnsi="Times New Roman" w:cs="Times New Roman"/>
          <w:b/>
          <w:sz w:val="28"/>
          <w:szCs w:val="28"/>
          <w:shd w:val="clear" w:color="auto" w:fill="FFFFFF"/>
        </w:rPr>
        <w:t xml:space="preserve">ổng kết </w:t>
      </w:r>
      <w:r>
        <w:rPr>
          <w:rFonts w:ascii="Times New Roman" w:eastAsia="Times New Roman" w:hAnsi="Times New Roman" w:cs="Times New Roman"/>
          <w:b/>
          <w:sz w:val="28"/>
          <w:szCs w:val="28"/>
          <w:shd w:val="clear" w:color="auto" w:fill="FFFFFF"/>
        </w:rPr>
        <w:t xml:space="preserve">thực tiễn thi hành </w:t>
      </w:r>
      <w:r w:rsidR="005C5CDF" w:rsidRPr="009C1702">
        <w:rPr>
          <w:rFonts w:ascii="Times New Roman" w:eastAsia="Times New Roman" w:hAnsi="Times New Roman" w:cs="Times New Roman"/>
          <w:b/>
          <w:sz w:val="28"/>
          <w:szCs w:val="28"/>
          <w:shd w:val="clear" w:color="auto" w:fill="FFFFFF"/>
        </w:rPr>
        <w:t>Luật Tố tụng hành chính</w:t>
      </w:r>
    </w:p>
    <w:p w14:paraId="3EAF0868" w14:textId="6453028B" w:rsidR="005C5CDF" w:rsidRPr="009C1702" w:rsidRDefault="005C5CDF" w:rsidP="00401BA4">
      <w:pPr>
        <w:spacing w:after="0" w:line="360" w:lineRule="exact"/>
        <w:jc w:val="center"/>
        <w:outlineLvl w:val="4"/>
        <w:rPr>
          <w:rFonts w:ascii="Times New Roman" w:eastAsia="Times New Roman" w:hAnsi="Times New Roman" w:cs="Times New Roman"/>
          <w:b/>
          <w:sz w:val="28"/>
          <w:szCs w:val="28"/>
          <w:shd w:val="clear" w:color="auto" w:fill="FFFFFF"/>
        </w:rPr>
      </w:pPr>
      <w:r w:rsidRPr="009C1702">
        <w:rPr>
          <w:rFonts w:ascii="Times New Roman" w:eastAsia="Times New Roman" w:hAnsi="Times New Roman" w:cs="Times New Roman"/>
          <w:b/>
          <w:sz w:val="28"/>
          <w:szCs w:val="28"/>
          <w:shd w:val="clear" w:color="auto" w:fill="FFFFFF"/>
        </w:rPr>
        <w:t xml:space="preserve">năm 2015 liên quan </w:t>
      </w:r>
      <w:r w:rsidR="009C1702">
        <w:rPr>
          <w:rFonts w:ascii="Times New Roman" w:eastAsia="Times New Roman" w:hAnsi="Times New Roman" w:cs="Times New Roman"/>
          <w:b/>
          <w:sz w:val="28"/>
          <w:szCs w:val="28"/>
          <w:shd w:val="clear" w:color="auto" w:fill="FFFFFF"/>
        </w:rPr>
        <w:t xml:space="preserve">đến </w:t>
      </w:r>
      <w:r w:rsidR="009C1702" w:rsidRPr="009C1702">
        <w:rPr>
          <w:rFonts w:ascii="Times New Roman" w:eastAsia="Times New Roman" w:hAnsi="Times New Roman" w:cs="Times New Roman"/>
          <w:b/>
          <w:sz w:val="28"/>
          <w:szCs w:val="28"/>
          <w:lang w:val="nl-NL"/>
        </w:rPr>
        <w:t>chức năng, nhiệm vụ của Bộ, ngành Tư pháp</w:t>
      </w:r>
    </w:p>
    <w:p w14:paraId="474019F0" w14:textId="1A3C79EF" w:rsidR="009C1702" w:rsidRPr="009C1702" w:rsidRDefault="00395643" w:rsidP="00401BA4">
      <w:pPr>
        <w:spacing w:after="0" w:line="360" w:lineRule="exact"/>
        <w:jc w:val="center"/>
        <w:outlineLvl w:val="4"/>
        <w:rPr>
          <w:rFonts w:ascii="Times New Roman" w:eastAsia="Times New Roman" w:hAnsi="Times New Roman" w:cs="Times New Roman"/>
          <w:i/>
          <w:sz w:val="28"/>
          <w:szCs w:val="28"/>
          <w:shd w:val="clear" w:color="auto" w:fill="FFFFFF"/>
        </w:rPr>
      </w:pPr>
      <w:r w:rsidRPr="009C1702">
        <w:rPr>
          <w:rFonts w:ascii="Times New Roman" w:eastAsia="Times New Roman" w:hAnsi="Times New Roman" w:cs="Times New Roman"/>
          <w:i/>
          <w:sz w:val="28"/>
          <w:szCs w:val="28"/>
          <w:lang w:val="vi-VN"/>
        </w:rPr>
        <w:t>(</w:t>
      </w:r>
      <w:r w:rsidR="009C1702" w:rsidRPr="009C1702">
        <w:rPr>
          <w:rFonts w:ascii="Times New Roman" w:eastAsia="Times New Roman" w:hAnsi="Times New Roman" w:cs="Times New Roman"/>
          <w:i/>
          <w:sz w:val="28"/>
          <w:szCs w:val="28"/>
        </w:rPr>
        <w:t>K</w:t>
      </w:r>
      <w:r w:rsidRPr="009C1702">
        <w:rPr>
          <w:rFonts w:ascii="Times New Roman" w:eastAsia="Times New Roman" w:hAnsi="Times New Roman" w:cs="Times New Roman"/>
          <w:i/>
          <w:sz w:val="28"/>
          <w:szCs w:val="28"/>
        </w:rPr>
        <w:t>èm</w:t>
      </w:r>
      <w:r w:rsidR="009C1702" w:rsidRPr="009C1702">
        <w:rPr>
          <w:rFonts w:ascii="Times New Roman" w:eastAsia="Times New Roman" w:hAnsi="Times New Roman" w:cs="Times New Roman"/>
          <w:i/>
          <w:sz w:val="28"/>
          <w:szCs w:val="28"/>
        </w:rPr>
        <w:t xml:space="preserve"> theo</w:t>
      </w:r>
      <w:r w:rsidRPr="009C1702">
        <w:rPr>
          <w:rFonts w:ascii="Times New Roman" w:eastAsia="Times New Roman" w:hAnsi="Times New Roman" w:cs="Times New Roman"/>
          <w:i/>
          <w:sz w:val="28"/>
          <w:szCs w:val="28"/>
        </w:rPr>
        <w:t xml:space="preserve"> </w:t>
      </w:r>
      <w:r w:rsidR="009C1702" w:rsidRPr="009C1702">
        <w:rPr>
          <w:rFonts w:ascii="Times New Roman" w:eastAsia="Times New Roman" w:hAnsi="Times New Roman" w:cs="Times New Roman"/>
          <w:i/>
          <w:sz w:val="28"/>
          <w:szCs w:val="28"/>
          <w:shd w:val="clear" w:color="auto" w:fill="FFFFFF"/>
        </w:rPr>
        <w:t>Quyết định số</w:t>
      </w:r>
      <w:r w:rsidR="00401BA4">
        <w:rPr>
          <w:rFonts w:ascii="Times New Roman" w:eastAsia="Times New Roman" w:hAnsi="Times New Roman" w:cs="Times New Roman"/>
          <w:i/>
          <w:sz w:val="28"/>
          <w:szCs w:val="28"/>
          <w:shd w:val="clear" w:color="auto" w:fill="FFFFFF"/>
        </w:rPr>
        <w:t xml:space="preserve"> 1450</w:t>
      </w:r>
      <w:r w:rsidR="009C1702" w:rsidRPr="009C1702">
        <w:rPr>
          <w:rFonts w:ascii="Times New Roman" w:eastAsia="Times New Roman" w:hAnsi="Times New Roman" w:cs="Times New Roman"/>
          <w:i/>
          <w:sz w:val="28"/>
          <w:szCs w:val="28"/>
          <w:shd w:val="clear" w:color="auto" w:fill="FFFFFF"/>
        </w:rPr>
        <w:t xml:space="preserve">/QĐ-BTP ngày  </w:t>
      </w:r>
      <w:r w:rsidR="00401BA4">
        <w:rPr>
          <w:rFonts w:ascii="Times New Roman" w:eastAsia="Times New Roman" w:hAnsi="Times New Roman" w:cs="Times New Roman"/>
          <w:i/>
          <w:sz w:val="28"/>
          <w:szCs w:val="28"/>
          <w:shd w:val="clear" w:color="auto" w:fill="FFFFFF"/>
        </w:rPr>
        <w:t>01</w:t>
      </w:r>
      <w:r w:rsidR="009C1702" w:rsidRPr="009C1702">
        <w:rPr>
          <w:rFonts w:ascii="Times New Roman" w:eastAsia="Times New Roman" w:hAnsi="Times New Roman" w:cs="Times New Roman"/>
          <w:i/>
          <w:sz w:val="28"/>
          <w:szCs w:val="28"/>
          <w:shd w:val="clear" w:color="auto" w:fill="FFFFFF"/>
        </w:rPr>
        <w:t xml:space="preserve">  tháng  </w:t>
      </w:r>
      <w:r w:rsidR="00401BA4">
        <w:rPr>
          <w:rFonts w:ascii="Times New Roman" w:eastAsia="Times New Roman" w:hAnsi="Times New Roman" w:cs="Times New Roman"/>
          <w:i/>
          <w:sz w:val="28"/>
          <w:szCs w:val="28"/>
          <w:shd w:val="clear" w:color="auto" w:fill="FFFFFF"/>
        </w:rPr>
        <w:t>8</w:t>
      </w:r>
      <w:r w:rsidR="009C1702" w:rsidRPr="009C1702">
        <w:rPr>
          <w:rFonts w:ascii="Times New Roman" w:eastAsia="Times New Roman" w:hAnsi="Times New Roman" w:cs="Times New Roman"/>
          <w:i/>
          <w:sz w:val="28"/>
          <w:szCs w:val="28"/>
          <w:shd w:val="clear" w:color="auto" w:fill="FFFFFF"/>
        </w:rPr>
        <w:t xml:space="preserve">  năm 2023</w:t>
      </w:r>
    </w:p>
    <w:p w14:paraId="15B57B86" w14:textId="012FF5EA" w:rsidR="00395643" w:rsidRPr="009C1702" w:rsidRDefault="009C1702" w:rsidP="00401BA4">
      <w:pPr>
        <w:spacing w:after="0" w:line="360" w:lineRule="exact"/>
        <w:jc w:val="center"/>
        <w:rPr>
          <w:rFonts w:ascii="Times New Roman" w:eastAsia="Times New Roman" w:hAnsi="Times New Roman" w:cs="Times New Roman"/>
          <w:i/>
          <w:sz w:val="28"/>
          <w:szCs w:val="28"/>
        </w:rPr>
      </w:pPr>
      <w:r w:rsidRPr="009C1702">
        <w:rPr>
          <w:rFonts w:ascii="Times New Roman" w:eastAsia="Times New Roman" w:hAnsi="Times New Roman" w:cs="Times New Roman"/>
          <w:i/>
          <w:sz w:val="28"/>
          <w:szCs w:val="28"/>
          <w:shd w:val="clear" w:color="auto" w:fill="FFFFFF"/>
        </w:rPr>
        <w:t>của Bộ trưởng Bộ Tư pháp</w:t>
      </w:r>
      <w:r w:rsidR="00395643" w:rsidRPr="009C1702">
        <w:rPr>
          <w:rFonts w:ascii="Times New Roman" w:eastAsia="Times New Roman" w:hAnsi="Times New Roman" w:cs="Times New Roman"/>
          <w:i/>
          <w:sz w:val="28"/>
          <w:szCs w:val="28"/>
          <w:lang w:val="vi-VN"/>
        </w:rPr>
        <w:t>)</w:t>
      </w:r>
    </w:p>
    <w:p w14:paraId="6E50738E" w14:textId="77777777" w:rsidR="00916103" w:rsidRPr="00404608" w:rsidRDefault="00401B39" w:rsidP="00401BA4">
      <w:pPr>
        <w:spacing w:after="0" w:line="360" w:lineRule="exact"/>
        <w:jc w:val="center"/>
        <w:rPr>
          <w:rFonts w:ascii="Times New Roman" w:eastAsia="Times New Roman" w:hAnsi="Times New Roman" w:cs="Times New Roman"/>
          <w:i/>
          <w:sz w:val="28"/>
          <w:szCs w:val="28"/>
        </w:rPr>
      </w:pPr>
      <w:r>
        <w:rPr>
          <w:rFonts w:ascii="Times New Roman" w:eastAsia="Times New Roman" w:hAnsi="Times New Roman" w:cs="Times New Roman"/>
          <w:i/>
          <w:noProof/>
          <w:sz w:val="28"/>
          <w:szCs w:val="28"/>
        </w:rPr>
        <mc:AlternateContent>
          <mc:Choice Requires="wps">
            <w:drawing>
              <wp:anchor distT="0" distB="0" distL="114300" distR="114300" simplePos="0" relativeHeight="251658240" behindDoc="0" locked="0" layoutInCell="1" allowOverlap="1" wp14:anchorId="7FB469E5" wp14:editId="3AFB2934">
                <wp:simplePos x="0" y="0"/>
                <wp:positionH relativeFrom="column">
                  <wp:posOffset>2434590</wp:posOffset>
                </wp:positionH>
                <wp:positionV relativeFrom="paragraph">
                  <wp:posOffset>76835</wp:posOffset>
                </wp:positionV>
                <wp:extent cx="638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3C83B"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1.7pt,6.05pt" to="241.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" strokecolor="#4579b8 [3044]"/>
            </w:pict>
          </mc:Fallback>
        </mc:AlternateContent>
      </w:r>
    </w:p>
    <w:p w14:paraId="5C9EC8AD" w14:textId="0A78FAE8" w:rsidR="000F7BD1" w:rsidRPr="000F7BD1" w:rsidRDefault="00260EB7" w:rsidP="006A4F93">
      <w:pPr>
        <w:spacing w:before="120" w:after="120" w:line="360" w:lineRule="exact"/>
        <w:jc w:val="both"/>
        <w:outlineLvl w:val="4"/>
        <w:rPr>
          <w:rFonts w:ascii="Times New Roman" w:eastAsia="Times New Roman" w:hAnsi="Times New Roman" w:cs="Times New Roman"/>
          <w:b/>
          <w:spacing w:val="-6"/>
          <w:sz w:val="28"/>
          <w:szCs w:val="28"/>
          <w:lang w:val="de-DE"/>
        </w:rPr>
      </w:pPr>
      <w:r>
        <w:rPr>
          <w:rFonts w:ascii="Times New Roman" w:eastAsia="Times New Roman" w:hAnsi="Times New Roman" w:cs="Times New Roman"/>
          <w:b/>
          <w:spacing w:val="-6"/>
          <w:sz w:val="28"/>
          <w:szCs w:val="28"/>
          <w:lang w:val="de-DE"/>
        </w:rPr>
        <w:tab/>
        <w:t xml:space="preserve">I. </w:t>
      </w:r>
      <w:r w:rsidR="009C1702">
        <w:rPr>
          <w:rFonts w:ascii="Times New Roman" w:eastAsia="Times New Roman" w:hAnsi="Times New Roman" w:cs="Times New Roman"/>
          <w:b/>
          <w:spacing w:val="-6"/>
          <w:sz w:val="28"/>
          <w:szCs w:val="28"/>
          <w:lang w:val="de-DE"/>
        </w:rPr>
        <w:t xml:space="preserve"> </w:t>
      </w:r>
      <w:r w:rsidR="00E31952">
        <w:rPr>
          <w:rFonts w:ascii="Times New Roman" w:eastAsia="Times New Roman" w:hAnsi="Times New Roman" w:cs="Times New Roman"/>
          <w:b/>
          <w:spacing w:val="-6"/>
          <w:sz w:val="28"/>
          <w:szCs w:val="28"/>
          <w:lang w:val="de-DE"/>
        </w:rPr>
        <w:t>TÌNH HÌNH</w:t>
      </w:r>
      <w:r w:rsidR="009C1702">
        <w:rPr>
          <w:rFonts w:ascii="Times New Roman" w:eastAsia="Times New Roman" w:hAnsi="Times New Roman" w:cs="Times New Roman"/>
          <w:b/>
          <w:spacing w:val="-6"/>
          <w:sz w:val="28"/>
          <w:szCs w:val="28"/>
          <w:lang w:val="de-DE"/>
        </w:rPr>
        <w:t xml:space="preserve"> TRIỂN KHAI THI HÀNH LUẬT TỐ TỤNG HÀNH CHÍNH NĂM 2015</w:t>
      </w:r>
    </w:p>
    <w:p w14:paraId="52858564" w14:textId="77777777" w:rsidR="000F7BD1" w:rsidRDefault="000F7BD1" w:rsidP="006A4F93">
      <w:pPr>
        <w:tabs>
          <w:tab w:val="left" w:pos="993"/>
        </w:tabs>
        <w:spacing w:before="120" w:after="120" w:line="360" w:lineRule="exact"/>
        <w:ind w:firstLine="709"/>
        <w:jc w:val="both"/>
        <w:rPr>
          <w:rFonts w:ascii="Times New Roman" w:eastAsia="Times New Roman" w:hAnsi="Times New Roman" w:cs="Times New Roman"/>
          <w:b/>
          <w:sz w:val="28"/>
          <w:szCs w:val="28"/>
          <w:shd w:val="clear" w:color="auto" w:fill="FFFFFF"/>
          <w:lang w:val="nl-NL"/>
        </w:rPr>
      </w:pPr>
      <w:r w:rsidRPr="000F7BD1">
        <w:rPr>
          <w:rFonts w:ascii="Times New Roman" w:eastAsia="Times New Roman" w:hAnsi="Times New Roman" w:cs="Times New Roman"/>
          <w:b/>
          <w:sz w:val="28"/>
          <w:szCs w:val="28"/>
          <w:lang w:val="de-DE"/>
        </w:rPr>
        <w:t xml:space="preserve">1. Công tác chỉ đạo, tổ chức triển khai thi hành </w:t>
      </w:r>
      <w:r w:rsidRPr="000F7BD1">
        <w:rPr>
          <w:rFonts w:ascii="Times New Roman" w:eastAsia="Times New Roman" w:hAnsi="Times New Roman" w:cs="Times New Roman"/>
          <w:b/>
          <w:sz w:val="28"/>
          <w:szCs w:val="28"/>
          <w:shd w:val="clear" w:color="auto" w:fill="FFFFFF"/>
          <w:lang w:val="nl-NL"/>
        </w:rPr>
        <w:t>Luật Tố tụng hành chính năm 2015</w:t>
      </w:r>
    </w:p>
    <w:p w14:paraId="5490030A" w14:textId="77777777" w:rsidR="0023200C" w:rsidRPr="000F7BD1" w:rsidRDefault="0023200C" w:rsidP="006A4F93">
      <w:pPr>
        <w:tabs>
          <w:tab w:val="left" w:pos="993"/>
        </w:tabs>
        <w:spacing w:before="120" w:after="120" w:line="36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 xml:space="preserve">- Việc chỉ đạo, xây dựng và tổ chức thực hiện Kế hoạch triển khai thi hành </w:t>
      </w:r>
      <w:r w:rsidRPr="000F7BD1">
        <w:rPr>
          <w:rFonts w:ascii="Times New Roman" w:eastAsia="Times New Roman" w:hAnsi="Times New Roman" w:cs="Times New Roman"/>
          <w:sz w:val="28"/>
          <w:szCs w:val="28"/>
          <w:shd w:val="clear" w:color="auto" w:fill="FFFFFF"/>
          <w:lang w:val="nl-NL"/>
        </w:rPr>
        <w:t>Luật Tố tụng hành chính năm 2015</w:t>
      </w:r>
      <w:r w:rsidRPr="000F7BD1">
        <w:rPr>
          <w:rFonts w:ascii="Times New Roman" w:eastAsia="Times New Roman" w:hAnsi="Times New Roman" w:cs="Times New Roman"/>
          <w:sz w:val="28"/>
          <w:szCs w:val="28"/>
        </w:rPr>
        <w:t xml:space="preserve"> </w:t>
      </w:r>
    </w:p>
    <w:p w14:paraId="33D182E8" w14:textId="77777777" w:rsidR="0023200C" w:rsidRPr="000F7BD1" w:rsidRDefault="0023200C" w:rsidP="006A4F93">
      <w:pPr>
        <w:tabs>
          <w:tab w:val="left" w:pos="993"/>
        </w:tabs>
        <w:spacing w:before="120" w:after="120" w:line="36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 Công tác tuyên truyền, phổ biến</w:t>
      </w:r>
      <w:r w:rsidRPr="000F7BD1">
        <w:rPr>
          <w:rFonts w:ascii="Times New Roman" w:eastAsia="Times New Roman" w:hAnsi="Times New Roman" w:cs="Times New Roman"/>
          <w:sz w:val="28"/>
          <w:szCs w:val="28"/>
          <w:shd w:val="clear" w:color="auto" w:fill="FFFFFF"/>
          <w:lang w:val="nl-NL"/>
        </w:rPr>
        <w:t xml:space="preserve"> Luật Tố tụng hành chính năm 2015</w:t>
      </w:r>
      <w:r w:rsidRPr="000F7BD1">
        <w:rPr>
          <w:rFonts w:ascii="Times New Roman" w:eastAsia="Times New Roman" w:hAnsi="Times New Roman" w:cs="Times New Roman"/>
          <w:sz w:val="28"/>
          <w:szCs w:val="28"/>
        </w:rPr>
        <w:t xml:space="preserve">  và các văn bản hướng dẫn thi hành (cần đánh giá kèm theo số liệu cụ thể các hình thức tuyên truyền, số lượng Hội nghị/số lượt người tham gia; mức độ nhận thức về Luật TTHC năm 2015 và các văn bản thi hành của người dân…); </w:t>
      </w:r>
    </w:p>
    <w:p w14:paraId="0797C3D2" w14:textId="77777777" w:rsidR="0023200C" w:rsidRPr="000F7BD1" w:rsidRDefault="0023200C" w:rsidP="006A4F93">
      <w:pPr>
        <w:tabs>
          <w:tab w:val="left" w:pos="993"/>
        </w:tabs>
        <w:spacing w:before="120" w:after="120" w:line="36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 xml:space="preserve">- Công tác đôn đốc, hướng dẫn trong quá trình triển khai thi hành </w:t>
      </w:r>
      <w:r w:rsidRPr="000F7BD1">
        <w:rPr>
          <w:rFonts w:ascii="Times New Roman" w:eastAsia="Times New Roman" w:hAnsi="Times New Roman" w:cs="Times New Roman"/>
          <w:sz w:val="28"/>
          <w:szCs w:val="28"/>
          <w:shd w:val="clear" w:color="auto" w:fill="FFFFFF"/>
          <w:lang w:val="nl-NL"/>
        </w:rPr>
        <w:t>Luật Tố tụng hành chính năm 2015</w:t>
      </w:r>
      <w:r w:rsidRPr="000F7BD1">
        <w:rPr>
          <w:rFonts w:ascii="Times New Roman" w:eastAsia="Times New Roman" w:hAnsi="Times New Roman" w:cs="Times New Roman"/>
          <w:sz w:val="28"/>
          <w:szCs w:val="28"/>
        </w:rPr>
        <w:t>;</w:t>
      </w:r>
    </w:p>
    <w:p w14:paraId="643FF1FB" w14:textId="77777777" w:rsidR="0023200C" w:rsidRDefault="0023200C" w:rsidP="006A4F93">
      <w:pPr>
        <w:tabs>
          <w:tab w:val="left" w:pos="993"/>
        </w:tabs>
        <w:spacing w:before="120" w:after="120" w:line="36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 Công tác phối hợp (nếu có) trong việc triển khai thi hành</w:t>
      </w:r>
      <w:r w:rsidRPr="003119E1">
        <w:rPr>
          <w:rFonts w:ascii="Times New Roman" w:eastAsia="Times New Roman" w:hAnsi="Times New Roman" w:cs="Times New Roman"/>
          <w:sz w:val="28"/>
          <w:szCs w:val="28"/>
        </w:rPr>
        <w:t xml:space="preserve"> Luật Tố tụng hành chính năm 2015</w:t>
      </w:r>
      <w:r w:rsidRPr="000F7BD1">
        <w:rPr>
          <w:rFonts w:ascii="Times New Roman" w:eastAsia="Times New Roman" w:hAnsi="Times New Roman" w:cs="Times New Roman"/>
          <w:sz w:val="28"/>
          <w:szCs w:val="28"/>
        </w:rPr>
        <w:t>.</w:t>
      </w:r>
    </w:p>
    <w:p w14:paraId="60745C61" w14:textId="5D3E315D" w:rsidR="004E737B" w:rsidRDefault="00E31952" w:rsidP="006A4F93">
      <w:pPr>
        <w:tabs>
          <w:tab w:val="left" w:pos="993"/>
        </w:tabs>
        <w:spacing w:before="120" w:after="120" w:line="360" w:lineRule="exact"/>
        <w:ind w:firstLine="709"/>
        <w:jc w:val="both"/>
        <w:rPr>
          <w:rFonts w:ascii="Times New Roman" w:eastAsia="Times New Roman" w:hAnsi="Times New Roman" w:cs="Times New Roman"/>
          <w:b/>
          <w:bCs/>
          <w:sz w:val="28"/>
          <w:szCs w:val="28"/>
          <w:shd w:val="clear" w:color="auto" w:fill="FFFFFF"/>
          <w:lang w:val="nl-NL"/>
        </w:rPr>
      </w:pPr>
      <w:r w:rsidRPr="00E31952">
        <w:rPr>
          <w:rFonts w:ascii="Times New Roman" w:eastAsia="Times New Roman" w:hAnsi="Times New Roman" w:cs="Times New Roman"/>
          <w:b/>
          <w:bCs/>
          <w:sz w:val="28"/>
          <w:szCs w:val="28"/>
          <w:shd w:val="clear" w:color="auto" w:fill="FFFFFF"/>
          <w:lang w:val="nl-NL"/>
        </w:rPr>
        <w:t xml:space="preserve">2. </w:t>
      </w:r>
      <w:r>
        <w:rPr>
          <w:rFonts w:ascii="Times New Roman" w:eastAsia="Times New Roman" w:hAnsi="Times New Roman" w:cs="Times New Roman"/>
          <w:b/>
          <w:bCs/>
          <w:sz w:val="28"/>
          <w:szCs w:val="28"/>
          <w:shd w:val="clear" w:color="auto" w:fill="FFFFFF"/>
          <w:lang w:val="nl-NL"/>
        </w:rPr>
        <w:t xml:space="preserve">Đánh giá </w:t>
      </w:r>
      <w:r w:rsidR="007D2D7F">
        <w:rPr>
          <w:rFonts w:ascii="Times New Roman" w:eastAsia="Times New Roman" w:hAnsi="Times New Roman" w:cs="Times New Roman"/>
          <w:b/>
          <w:bCs/>
          <w:sz w:val="28"/>
          <w:szCs w:val="28"/>
          <w:shd w:val="clear" w:color="auto" w:fill="FFFFFF"/>
          <w:lang w:val="nl-NL"/>
        </w:rPr>
        <w:t>kết quả</w:t>
      </w:r>
      <w:r>
        <w:rPr>
          <w:rFonts w:ascii="Times New Roman" w:eastAsia="Times New Roman" w:hAnsi="Times New Roman" w:cs="Times New Roman"/>
          <w:b/>
          <w:bCs/>
          <w:sz w:val="28"/>
          <w:szCs w:val="28"/>
          <w:shd w:val="clear" w:color="auto" w:fill="FFFFFF"/>
          <w:lang w:val="nl-NL"/>
        </w:rPr>
        <w:t xml:space="preserve"> thi hành</w:t>
      </w:r>
      <w:r w:rsidR="007D2D7F">
        <w:rPr>
          <w:rFonts w:ascii="Times New Roman" w:eastAsia="Times New Roman" w:hAnsi="Times New Roman" w:cs="Times New Roman"/>
          <w:b/>
          <w:bCs/>
          <w:sz w:val="28"/>
          <w:szCs w:val="28"/>
          <w:shd w:val="clear" w:color="auto" w:fill="FFFFFF"/>
          <w:lang w:val="nl-NL"/>
        </w:rPr>
        <w:t>, những thuận lợi trong quá trình thi hành</w:t>
      </w:r>
      <w:r>
        <w:rPr>
          <w:rFonts w:ascii="Times New Roman" w:eastAsia="Times New Roman" w:hAnsi="Times New Roman" w:cs="Times New Roman"/>
          <w:b/>
          <w:bCs/>
          <w:sz w:val="28"/>
          <w:szCs w:val="28"/>
          <w:shd w:val="clear" w:color="auto" w:fill="FFFFFF"/>
          <w:lang w:val="nl-NL"/>
        </w:rPr>
        <w:t xml:space="preserve"> </w:t>
      </w:r>
      <w:r w:rsidR="000963A3">
        <w:rPr>
          <w:rFonts w:ascii="Times New Roman" w:eastAsia="Times New Roman" w:hAnsi="Times New Roman" w:cs="Times New Roman"/>
          <w:b/>
          <w:bCs/>
          <w:sz w:val="28"/>
          <w:szCs w:val="28"/>
          <w:shd w:val="clear" w:color="auto" w:fill="FFFFFF"/>
          <w:lang w:val="nl-NL"/>
        </w:rPr>
        <w:t xml:space="preserve">các quy định của </w:t>
      </w:r>
      <w:r>
        <w:rPr>
          <w:rFonts w:ascii="Times New Roman" w:eastAsia="Times New Roman" w:hAnsi="Times New Roman" w:cs="Times New Roman"/>
          <w:b/>
          <w:bCs/>
          <w:sz w:val="28"/>
          <w:szCs w:val="28"/>
          <w:shd w:val="clear" w:color="auto" w:fill="FFFFFF"/>
          <w:lang w:val="nl-NL"/>
        </w:rPr>
        <w:t>Luật Tố tụng hành chính năm 2015</w:t>
      </w:r>
      <w:r w:rsidR="000963A3">
        <w:rPr>
          <w:rFonts w:ascii="Times New Roman" w:eastAsia="Times New Roman" w:hAnsi="Times New Roman" w:cs="Times New Roman"/>
          <w:b/>
          <w:bCs/>
          <w:sz w:val="28"/>
          <w:szCs w:val="28"/>
          <w:shd w:val="clear" w:color="auto" w:fill="FFFFFF"/>
          <w:lang w:val="nl-NL"/>
        </w:rPr>
        <w:t xml:space="preserve"> liên quan đến chức năng, nhiệm vụ của Bộ, ngành Tư pháp</w:t>
      </w:r>
    </w:p>
    <w:p w14:paraId="23C55555" w14:textId="72966E50" w:rsidR="000963A3" w:rsidRPr="009E457A" w:rsidRDefault="000963A3" w:rsidP="006A4F93">
      <w:pPr>
        <w:tabs>
          <w:tab w:val="left" w:pos="993"/>
        </w:tabs>
        <w:spacing w:before="120" w:after="120" w:line="360" w:lineRule="exact"/>
        <w:ind w:firstLine="709"/>
        <w:jc w:val="both"/>
        <w:rPr>
          <w:rFonts w:ascii="Times New Roman" w:eastAsia="Times New Roman" w:hAnsi="Times New Roman" w:cs="Times New Roman"/>
          <w:b/>
          <w:i/>
          <w:sz w:val="28"/>
          <w:szCs w:val="28"/>
        </w:rPr>
      </w:pPr>
      <w:r w:rsidRPr="009E457A">
        <w:rPr>
          <w:rFonts w:ascii="Times New Roman" w:eastAsia="Times New Roman" w:hAnsi="Times New Roman" w:cs="Times New Roman"/>
          <w:b/>
          <w:i/>
          <w:sz w:val="28"/>
          <w:szCs w:val="28"/>
        </w:rPr>
        <w:t>2.1. Đối với các đơn vị thuộc Bộ</w:t>
      </w:r>
    </w:p>
    <w:p w14:paraId="1012F897" w14:textId="5F5E0D02" w:rsidR="000963A3" w:rsidRDefault="009E457A" w:rsidP="006A4F93">
      <w:pPr>
        <w:tabs>
          <w:tab w:val="left" w:pos="993"/>
        </w:tabs>
        <w:spacing w:before="120" w:after="12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chức năng, nhiệm vụ, các đơn vị thuộc bộ tổng kết, đánh giá công tác tham mưu quản lý nhà nước về các </w:t>
      </w:r>
      <w:r w:rsidR="00794178">
        <w:rPr>
          <w:rFonts w:ascii="Times New Roman" w:eastAsia="Times New Roman" w:hAnsi="Times New Roman" w:cs="Times New Roman"/>
          <w:sz w:val="28"/>
          <w:szCs w:val="28"/>
        </w:rPr>
        <w:t>hoạt động</w:t>
      </w:r>
      <w:r>
        <w:rPr>
          <w:rFonts w:ascii="Times New Roman" w:eastAsia="Times New Roman" w:hAnsi="Times New Roman" w:cs="Times New Roman"/>
          <w:sz w:val="28"/>
          <w:szCs w:val="28"/>
        </w:rPr>
        <w:t xml:space="preserve"> Bổ trợ tư pháp</w:t>
      </w:r>
      <w:r w:rsidR="00794178">
        <w:rPr>
          <w:rFonts w:ascii="Times New Roman" w:eastAsia="Times New Roman" w:hAnsi="Times New Roman" w:cs="Times New Roman"/>
          <w:sz w:val="28"/>
          <w:szCs w:val="28"/>
        </w:rPr>
        <w:t xml:space="preserve"> của Luật sư</w:t>
      </w:r>
      <w:r>
        <w:rPr>
          <w:rFonts w:ascii="Times New Roman" w:eastAsia="Times New Roman" w:hAnsi="Times New Roman" w:cs="Times New Roman"/>
          <w:sz w:val="28"/>
          <w:szCs w:val="28"/>
        </w:rPr>
        <w:t>,</w:t>
      </w:r>
      <w:r w:rsidR="00794178">
        <w:rPr>
          <w:rFonts w:ascii="Times New Roman" w:eastAsia="Times New Roman" w:hAnsi="Times New Roman" w:cs="Times New Roman"/>
          <w:sz w:val="28"/>
          <w:szCs w:val="28"/>
        </w:rPr>
        <w:t xml:space="preserve"> Trợ giúp viên pháp lý</w:t>
      </w:r>
      <w:r w:rsidR="001629A1">
        <w:rPr>
          <w:rFonts w:ascii="Times New Roman" w:eastAsia="Times New Roman" w:hAnsi="Times New Roman" w:cs="Times New Roman"/>
          <w:sz w:val="28"/>
          <w:szCs w:val="28"/>
        </w:rPr>
        <w:t>, người tham gia trợ giúp pháp lý</w:t>
      </w:r>
      <w:r w:rsidR="00794178">
        <w:rPr>
          <w:rFonts w:ascii="Times New Roman" w:eastAsia="Times New Roman" w:hAnsi="Times New Roman" w:cs="Times New Roman"/>
          <w:sz w:val="28"/>
          <w:szCs w:val="28"/>
        </w:rPr>
        <w:t xml:space="preserve"> với tư cách là người bảo vệ quyền lợi, nghĩa vụ của đương sự, hoạt động</w:t>
      </w:r>
      <w:r>
        <w:rPr>
          <w:rFonts w:ascii="Times New Roman" w:eastAsia="Times New Roman" w:hAnsi="Times New Roman" w:cs="Times New Roman"/>
          <w:sz w:val="28"/>
          <w:szCs w:val="28"/>
        </w:rPr>
        <w:t xml:space="preserve"> Giám định tư pháp, Công chứng, Thừa phát lại,</w:t>
      </w:r>
      <w:r w:rsidR="003859D0">
        <w:rPr>
          <w:rFonts w:ascii="Times New Roman" w:eastAsia="Times New Roman" w:hAnsi="Times New Roman" w:cs="Times New Roman"/>
          <w:sz w:val="28"/>
          <w:szCs w:val="28"/>
        </w:rPr>
        <w:t xml:space="preserve"> công tác tham mưu, chỉ đạo và thực hiện tuyên truyền, phổ biến, giáo dục pháp luật và công tác thi hành án hành chính.</w:t>
      </w:r>
    </w:p>
    <w:p w14:paraId="3C215B87" w14:textId="66C10F20" w:rsidR="006A4F93" w:rsidRDefault="00B5242A" w:rsidP="006A4F93">
      <w:pPr>
        <w:spacing w:before="120" w:after="120" w:line="360" w:lineRule="exact"/>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Rà soát, </w:t>
      </w:r>
      <w:r w:rsidR="009E457A" w:rsidRPr="009E457A">
        <w:rPr>
          <w:rFonts w:ascii="Times New Roman" w:eastAsia="Times New Roman" w:hAnsi="Times New Roman" w:cs="Times New Roman"/>
          <w:sz w:val="28"/>
          <w:szCs w:val="28"/>
          <w:lang w:val="nl-NL"/>
        </w:rPr>
        <w:t xml:space="preserve">đánh giá về sự thống nhất giữa các quy định của Luật </w:t>
      </w:r>
      <w:r>
        <w:rPr>
          <w:rFonts w:ascii="Times New Roman" w:eastAsia="Times New Roman" w:hAnsi="Times New Roman" w:cs="Times New Roman"/>
          <w:sz w:val="28"/>
          <w:szCs w:val="28"/>
          <w:lang w:val="nl-NL"/>
        </w:rPr>
        <w:t>Tố tụng hành chính v</w:t>
      </w:r>
      <w:r w:rsidR="009E457A" w:rsidRPr="009E457A">
        <w:rPr>
          <w:rFonts w:ascii="Times New Roman" w:eastAsia="Times New Roman" w:hAnsi="Times New Roman" w:cs="Times New Roman"/>
          <w:sz w:val="28"/>
          <w:szCs w:val="28"/>
          <w:lang w:val="nl-NL"/>
        </w:rPr>
        <w:t>ới các quy định của Luật, Pháp lệnh có liên quan, các hiệp định tương trợ tư pháp được k</w:t>
      </w:r>
      <w:r w:rsidR="00082C83">
        <w:rPr>
          <w:rFonts w:ascii="Times New Roman" w:eastAsia="Times New Roman" w:hAnsi="Times New Roman" w:cs="Times New Roman"/>
          <w:sz w:val="28"/>
          <w:szCs w:val="28"/>
          <w:lang w:val="nl-NL"/>
        </w:rPr>
        <w:t>ý kết giữa Việt Nam và các nước</w:t>
      </w:r>
      <w:r w:rsidR="009E457A" w:rsidRPr="009E457A">
        <w:rPr>
          <w:rFonts w:ascii="Times New Roman" w:eastAsia="Times New Roman" w:hAnsi="Times New Roman" w:cs="Times New Roman"/>
          <w:sz w:val="28"/>
          <w:szCs w:val="28"/>
          <w:lang w:val="nl-NL"/>
        </w:rPr>
        <w:t xml:space="preserve">, các điều ước quốc tế </w:t>
      </w:r>
      <w:r w:rsidR="00082C83">
        <w:rPr>
          <w:rFonts w:ascii="Times New Roman" w:eastAsia="Times New Roman" w:hAnsi="Times New Roman" w:cs="Times New Roman"/>
          <w:sz w:val="28"/>
          <w:szCs w:val="28"/>
          <w:lang w:val="nl-NL"/>
        </w:rPr>
        <w:t xml:space="preserve">khác </w:t>
      </w:r>
      <w:r w:rsidR="009E457A" w:rsidRPr="009E457A">
        <w:rPr>
          <w:rFonts w:ascii="Times New Roman" w:eastAsia="Times New Roman" w:hAnsi="Times New Roman" w:cs="Times New Roman"/>
          <w:sz w:val="28"/>
          <w:szCs w:val="28"/>
          <w:lang w:val="nl-NL"/>
        </w:rPr>
        <w:t xml:space="preserve">có liên quan </w:t>
      </w:r>
      <w:r w:rsidR="006A4F93">
        <w:rPr>
          <w:rFonts w:ascii="Times New Roman" w:eastAsia="Times New Roman" w:hAnsi="Times New Roman" w:cs="Times New Roman"/>
          <w:sz w:val="28"/>
          <w:szCs w:val="28"/>
          <w:lang w:val="nl-NL"/>
        </w:rPr>
        <w:t xml:space="preserve">do </w:t>
      </w:r>
      <w:r w:rsidR="00082C83">
        <w:rPr>
          <w:rFonts w:ascii="Times New Roman" w:eastAsia="Times New Roman" w:hAnsi="Times New Roman" w:cs="Times New Roman"/>
          <w:sz w:val="28"/>
          <w:szCs w:val="28"/>
          <w:lang w:val="nl-NL"/>
        </w:rPr>
        <w:t>Bộ Tư pháp là cơ quan chủ trì thực hiện, c</w:t>
      </w:r>
      <w:r w:rsidR="009E457A" w:rsidRPr="009E457A">
        <w:rPr>
          <w:rFonts w:ascii="Times New Roman" w:eastAsia="Times New Roman" w:hAnsi="Times New Roman" w:cs="Times New Roman"/>
          <w:sz w:val="28"/>
          <w:szCs w:val="28"/>
          <w:lang w:val="nl-NL"/>
        </w:rPr>
        <w:t xml:space="preserve">ác hoạt động hợp tác quốc tế, các chương trình, dự án liên quan đến Luật </w:t>
      </w:r>
      <w:r>
        <w:rPr>
          <w:rFonts w:ascii="Times New Roman" w:eastAsia="Times New Roman" w:hAnsi="Times New Roman" w:cs="Times New Roman"/>
          <w:sz w:val="28"/>
          <w:szCs w:val="28"/>
          <w:lang w:val="nl-NL"/>
        </w:rPr>
        <w:t>Tố tụng hành chính</w:t>
      </w:r>
      <w:r w:rsidR="00082C83">
        <w:rPr>
          <w:rFonts w:ascii="Times New Roman" w:eastAsia="Times New Roman" w:hAnsi="Times New Roman" w:cs="Times New Roman"/>
          <w:sz w:val="28"/>
          <w:szCs w:val="28"/>
          <w:lang w:val="nl-NL"/>
        </w:rPr>
        <w:t>.</w:t>
      </w:r>
    </w:p>
    <w:p w14:paraId="437CA005" w14:textId="77777777" w:rsidR="006A4F93" w:rsidRPr="00082C83" w:rsidRDefault="006A4F93" w:rsidP="006A4F93">
      <w:pPr>
        <w:spacing w:before="120" w:after="120" w:line="360" w:lineRule="exact"/>
        <w:ind w:firstLine="709"/>
        <w:jc w:val="both"/>
        <w:rPr>
          <w:rFonts w:ascii="Times New Roman" w:eastAsia="Times New Roman" w:hAnsi="Times New Roman" w:cs="Times New Roman"/>
          <w:sz w:val="28"/>
          <w:szCs w:val="28"/>
          <w:lang w:val="nl-NL"/>
        </w:rPr>
      </w:pPr>
    </w:p>
    <w:p w14:paraId="42D76058" w14:textId="5587679D" w:rsidR="000963A3" w:rsidRPr="009E457A" w:rsidRDefault="000963A3" w:rsidP="006A4F93">
      <w:pPr>
        <w:tabs>
          <w:tab w:val="left" w:pos="993"/>
        </w:tabs>
        <w:spacing w:before="120" w:after="120" w:line="360" w:lineRule="exact"/>
        <w:ind w:firstLine="709"/>
        <w:jc w:val="both"/>
        <w:rPr>
          <w:rFonts w:ascii="Times New Roman" w:eastAsia="Times New Roman" w:hAnsi="Times New Roman" w:cs="Times New Roman"/>
          <w:b/>
          <w:i/>
          <w:sz w:val="28"/>
          <w:szCs w:val="28"/>
        </w:rPr>
      </w:pPr>
      <w:r w:rsidRPr="009E457A">
        <w:rPr>
          <w:rFonts w:ascii="Times New Roman" w:eastAsia="Times New Roman" w:hAnsi="Times New Roman" w:cs="Times New Roman"/>
          <w:b/>
          <w:i/>
          <w:sz w:val="28"/>
          <w:szCs w:val="28"/>
        </w:rPr>
        <w:lastRenderedPageBreak/>
        <w:t>2.2. Đối với Sở Tư pháp</w:t>
      </w:r>
    </w:p>
    <w:p w14:paraId="22C5C248" w14:textId="4D55D181" w:rsidR="0040615C" w:rsidRPr="0040615C" w:rsidRDefault="009E457A" w:rsidP="0040615C">
      <w:pPr>
        <w:spacing w:before="120" w:after="120" w:line="360" w:lineRule="exact"/>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40615C">
        <w:rPr>
          <w:rFonts w:ascii="Times New Roman" w:eastAsia="Times New Roman" w:hAnsi="Times New Roman" w:cs="Times New Roman"/>
          <w:sz w:val="28"/>
          <w:szCs w:val="28"/>
          <w:lang w:val="nl-NL"/>
        </w:rPr>
        <w:t xml:space="preserve">Báo cáo </w:t>
      </w:r>
      <w:r w:rsidR="00012F91">
        <w:rPr>
          <w:rFonts w:ascii="Times New Roman" w:eastAsia="Times New Roman" w:hAnsi="Times New Roman" w:cs="Times New Roman"/>
          <w:sz w:val="28"/>
          <w:szCs w:val="28"/>
          <w:lang w:val="nl-NL"/>
        </w:rPr>
        <w:t xml:space="preserve">kết quả thực hiện </w:t>
      </w:r>
      <w:r w:rsidR="0040615C">
        <w:rPr>
          <w:rFonts w:ascii="Times New Roman" w:eastAsia="Times New Roman" w:hAnsi="Times New Roman" w:cs="Times New Roman"/>
          <w:sz w:val="28"/>
          <w:szCs w:val="28"/>
          <w:lang w:val="nl-NL"/>
        </w:rPr>
        <w:t xml:space="preserve">các nội dung tại điểm 2.1 mục 2 phần III của Kế hoạch, trong đó tập trung đánh giá </w:t>
      </w:r>
      <w:r w:rsidR="00012F91">
        <w:rPr>
          <w:rFonts w:ascii="Times New Roman" w:eastAsia="Times New Roman" w:hAnsi="Times New Roman" w:cs="Times New Roman"/>
          <w:sz w:val="28"/>
          <w:szCs w:val="28"/>
          <w:lang w:val="nl-NL"/>
        </w:rPr>
        <w:t>tình hình</w:t>
      </w:r>
      <w:r w:rsidR="0040615C">
        <w:rPr>
          <w:rFonts w:ascii="Times New Roman" w:eastAsia="Times New Roman" w:hAnsi="Times New Roman" w:cs="Times New Roman"/>
          <w:sz w:val="28"/>
          <w:szCs w:val="28"/>
          <w:lang w:val="nl-NL"/>
        </w:rPr>
        <w:t xml:space="preserve"> thực hiện </w:t>
      </w:r>
      <w:r w:rsidR="0040615C" w:rsidRPr="0040615C">
        <w:rPr>
          <w:rFonts w:ascii="Times New Roman" w:eastAsia="Times New Roman" w:hAnsi="Times New Roman" w:cs="Times New Roman"/>
          <w:spacing w:val="-4"/>
          <w:sz w:val="28"/>
          <w:szCs w:val="28"/>
          <w:lang w:val="nl-NL"/>
        </w:rPr>
        <w:t xml:space="preserve">các quy định của Luật TTHC liên quan đến hoạt động bổ trợ tư pháp của Luật sư, Giám định viên tư pháp, Công chứng viên, Trợ giúp viên pháp lý, người tham gia trợ giúp pháp lý trong các phiên tòa hành </w:t>
      </w:r>
      <w:r w:rsidR="0040615C">
        <w:rPr>
          <w:rFonts w:ascii="Times New Roman" w:eastAsia="Times New Roman" w:hAnsi="Times New Roman" w:cs="Times New Roman"/>
          <w:spacing w:val="-4"/>
          <w:sz w:val="28"/>
          <w:szCs w:val="28"/>
          <w:lang w:val="nl-NL"/>
        </w:rPr>
        <w:t>chính và thi hành án hành chính;</w:t>
      </w:r>
      <w:r w:rsidR="0040615C" w:rsidRPr="0040615C">
        <w:rPr>
          <w:rFonts w:ascii="Times New Roman" w:eastAsia="Times New Roman" w:hAnsi="Times New Roman" w:cs="Times New Roman"/>
          <w:sz w:val="28"/>
          <w:szCs w:val="28"/>
          <w:lang w:val="nl-NL"/>
        </w:rPr>
        <w:t xml:space="preserve"> Công tác tuyên truyền, phổ biến</w:t>
      </w:r>
      <w:r w:rsidR="0040615C">
        <w:rPr>
          <w:rFonts w:ascii="Times New Roman" w:eastAsia="Times New Roman" w:hAnsi="Times New Roman" w:cs="Times New Roman"/>
          <w:sz w:val="28"/>
          <w:szCs w:val="28"/>
          <w:lang w:val="nl-NL"/>
        </w:rPr>
        <w:t xml:space="preserve"> các quy định của Luật Tố tụng hành chính và các văn bản hướng dẫn thi hành.</w:t>
      </w:r>
      <w:r w:rsidR="0040615C" w:rsidRPr="0040615C">
        <w:rPr>
          <w:rFonts w:ascii="Times New Roman" w:eastAsia="Times New Roman" w:hAnsi="Times New Roman" w:cs="Times New Roman"/>
          <w:sz w:val="28"/>
          <w:szCs w:val="28"/>
          <w:lang w:val="nl-NL"/>
        </w:rPr>
        <w:t>.. Rà soát, đánh giá những vướng mắc, bất cập giữa các quy định của Luật TTHC với các quy định của Luật, Pháp lệnh có liên quan.</w:t>
      </w:r>
    </w:p>
    <w:p w14:paraId="469ED551" w14:textId="2A245C53" w:rsidR="000963A3" w:rsidRPr="009E457A" w:rsidRDefault="000963A3" w:rsidP="000963A3">
      <w:pPr>
        <w:tabs>
          <w:tab w:val="left" w:pos="993"/>
        </w:tabs>
        <w:spacing w:before="120" w:after="120" w:line="360" w:lineRule="exact"/>
        <w:ind w:firstLine="709"/>
        <w:jc w:val="both"/>
        <w:rPr>
          <w:rFonts w:ascii="Times New Roman" w:eastAsia="Times New Roman" w:hAnsi="Times New Roman" w:cs="Times New Roman"/>
          <w:b/>
          <w:i/>
          <w:sz w:val="28"/>
          <w:szCs w:val="28"/>
        </w:rPr>
      </w:pPr>
      <w:r w:rsidRPr="009E457A">
        <w:rPr>
          <w:rFonts w:ascii="Times New Roman" w:eastAsia="Times New Roman" w:hAnsi="Times New Roman" w:cs="Times New Roman"/>
          <w:b/>
          <w:i/>
          <w:sz w:val="28"/>
          <w:szCs w:val="28"/>
        </w:rPr>
        <w:t>2.3. Đối với Cục Thi hành án dân sự</w:t>
      </w:r>
    </w:p>
    <w:p w14:paraId="442E9273" w14:textId="26007085" w:rsidR="009E457A" w:rsidRPr="00BD7930" w:rsidRDefault="0040615C" w:rsidP="0040615C">
      <w:pPr>
        <w:spacing w:before="120" w:after="120" w:line="340" w:lineRule="exact"/>
        <w:ind w:firstLine="709"/>
        <w:jc w:val="both"/>
        <w:rPr>
          <w:rFonts w:ascii="Times New Roman" w:eastAsia="Times New Roman" w:hAnsi="Times New Roman" w:cs="Times New Roman"/>
          <w:sz w:val="28"/>
          <w:szCs w:val="28"/>
          <w:shd w:val="clear" w:color="auto" w:fill="FFFFFF"/>
          <w:lang w:val="nl-NL"/>
        </w:rPr>
      </w:pPr>
      <w:r>
        <w:rPr>
          <w:rFonts w:ascii="Times New Roman" w:eastAsia="Times New Roman" w:hAnsi="Times New Roman" w:cs="Times New Roman"/>
          <w:sz w:val="28"/>
          <w:szCs w:val="28"/>
          <w:lang w:val="nl-NL"/>
        </w:rPr>
        <w:t>- Báo cáo các nội dung tại điểm 2.2 mục 2 phần III của Kế hoạch, trong đó tập trung đ</w:t>
      </w:r>
      <w:r w:rsidR="009E457A">
        <w:rPr>
          <w:rFonts w:ascii="Times New Roman" w:eastAsia="Times New Roman" w:hAnsi="Times New Roman" w:cs="Times New Roman"/>
          <w:sz w:val="28"/>
          <w:szCs w:val="28"/>
          <w:shd w:val="clear" w:color="auto" w:fill="FFFFFF"/>
          <w:lang w:val="nl-NL"/>
        </w:rPr>
        <w:t xml:space="preserve">ánh giá </w:t>
      </w:r>
      <w:r w:rsidR="009E457A" w:rsidRPr="009E457A">
        <w:rPr>
          <w:rFonts w:ascii="Times New Roman" w:eastAsia="Times New Roman" w:hAnsi="Times New Roman" w:cs="Times New Roman"/>
          <w:spacing w:val="-4"/>
          <w:sz w:val="28"/>
          <w:szCs w:val="28"/>
          <w:lang w:val="nl-NL"/>
        </w:rPr>
        <w:t>việc áp dụng, thi hành các quy định của Luật TTHC về thi hành bản án, quyết định của Tòa án về vụ án hành chính</w:t>
      </w:r>
      <w:r>
        <w:rPr>
          <w:rFonts w:ascii="Times New Roman" w:eastAsia="Times New Roman" w:hAnsi="Times New Roman" w:cs="Times New Roman"/>
          <w:spacing w:val="-4"/>
          <w:sz w:val="28"/>
          <w:szCs w:val="28"/>
          <w:lang w:val="nl-NL"/>
        </w:rPr>
        <w:t xml:space="preserve"> và tổng hợp, th</w:t>
      </w:r>
      <w:r w:rsidR="009E457A" w:rsidRPr="00BD7930">
        <w:rPr>
          <w:rFonts w:ascii="Times New Roman" w:eastAsia="Times New Roman" w:hAnsi="Times New Roman" w:cs="Times New Roman"/>
          <w:sz w:val="28"/>
          <w:szCs w:val="28"/>
          <w:shd w:val="clear" w:color="auto" w:fill="FFFFFF"/>
          <w:lang w:val="nl-NL"/>
        </w:rPr>
        <w:t xml:space="preserve">ống kê </w:t>
      </w:r>
      <w:r w:rsidR="009E457A">
        <w:rPr>
          <w:rFonts w:ascii="Times New Roman" w:eastAsia="Times New Roman" w:hAnsi="Times New Roman" w:cs="Times New Roman"/>
          <w:sz w:val="28"/>
          <w:szCs w:val="28"/>
          <w:shd w:val="clear" w:color="auto" w:fill="FFFFFF"/>
          <w:lang w:val="nl-NL"/>
        </w:rPr>
        <w:t xml:space="preserve">số liệu </w:t>
      </w:r>
      <w:r>
        <w:rPr>
          <w:rFonts w:ascii="Times New Roman" w:eastAsia="Times New Roman" w:hAnsi="Times New Roman" w:cs="Times New Roman"/>
          <w:sz w:val="28"/>
          <w:szCs w:val="28"/>
          <w:shd w:val="clear" w:color="auto" w:fill="FFFFFF"/>
          <w:lang w:val="nl-NL"/>
        </w:rPr>
        <w:t xml:space="preserve">thi hành án hành chính </w:t>
      </w:r>
      <w:r w:rsidR="009E457A" w:rsidRPr="00BD7930">
        <w:rPr>
          <w:rFonts w:ascii="Times New Roman" w:eastAsia="Times New Roman" w:hAnsi="Times New Roman" w:cs="Times New Roman"/>
          <w:sz w:val="28"/>
          <w:szCs w:val="28"/>
          <w:shd w:val="clear" w:color="auto" w:fill="FFFFFF"/>
          <w:lang w:val="nl-NL"/>
        </w:rPr>
        <w:t>cụ thể theo từng năm</w:t>
      </w:r>
      <w:r w:rsidR="009E457A">
        <w:rPr>
          <w:rFonts w:ascii="Times New Roman" w:eastAsia="Times New Roman" w:hAnsi="Times New Roman" w:cs="Times New Roman"/>
          <w:sz w:val="28"/>
          <w:szCs w:val="28"/>
          <w:shd w:val="clear" w:color="auto" w:fill="FFFFFF"/>
          <w:lang w:val="nl-NL"/>
        </w:rPr>
        <w:t xml:space="preserve">, trong đó nêu rõ: (1) tổng số bản án, quyết định của Tòa án </w:t>
      </w:r>
      <w:r>
        <w:rPr>
          <w:rFonts w:ascii="Times New Roman" w:eastAsia="Times New Roman" w:hAnsi="Times New Roman" w:cs="Times New Roman"/>
          <w:sz w:val="28"/>
          <w:szCs w:val="28"/>
          <w:shd w:val="clear" w:color="auto" w:fill="FFFFFF"/>
          <w:lang w:val="nl-NL"/>
        </w:rPr>
        <w:t xml:space="preserve">đã có hiệu lực pháp luật mà các cơ quan hành chính </w:t>
      </w:r>
      <w:r w:rsidR="009E457A">
        <w:rPr>
          <w:rFonts w:ascii="Times New Roman" w:eastAsia="Times New Roman" w:hAnsi="Times New Roman" w:cs="Times New Roman"/>
          <w:sz w:val="28"/>
          <w:szCs w:val="28"/>
          <w:shd w:val="clear" w:color="auto" w:fill="FFFFFF"/>
          <w:lang w:val="nl-NL"/>
        </w:rPr>
        <w:t>phải thi hành án; (2) tổng số bản án, quyết định của Tòa án đã</w:t>
      </w:r>
      <w:r>
        <w:rPr>
          <w:rFonts w:ascii="Times New Roman" w:eastAsia="Times New Roman" w:hAnsi="Times New Roman" w:cs="Times New Roman"/>
          <w:sz w:val="28"/>
          <w:szCs w:val="28"/>
          <w:shd w:val="clear" w:color="auto" w:fill="FFFFFF"/>
          <w:lang w:val="nl-NL"/>
        </w:rPr>
        <w:t xml:space="preserve"> được các cơ quan hành chính nhà nước</w:t>
      </w:r>
      <w:r w:rsidR="009E457A">
        <w:rPr>
          <w:rFonts w:ascii="Times New Roman" w:eastAsia="Times New Roman" w:hAnsi="Times New Roman" w:cs="Times New Roman"/>
          <w:sz w:val="28"/>
          <w:szCs w:val="28"/>
          <w:shd w:val="clear" w:color="auto" w:fill="FFFFFF"/>
          <w:lang w:val="nl-NL"/>
        </w:rPr>
        <w:t xml:space="preserve"> thi hành xong; (3) tổng số bản án, quyết định của Tòa án chưa được thi hành xong.</w:t>
      </w:r>
    </w:p>
    <w:p w14:paraId="18E064DA" w14:textId="55A4A352" w:rsidR="000F7BD1" w:rsidRPr="000F7BD1" w:rsidRDefault="000F7BD1" w:rsidP="001206C6">
      <w:pPr>
        <w:tabs>
          <w:tab w:val="left" w:pos="851"/>
          <w:tab w:val="left" w:pos="1276"/>
        </w:tabs>
        <w:spacing w:before="120" w:after="120" w:line="360" w:lineRule="exact"/>
        <w:ind w:firstLine="709"/>
        <w:jc w:val="both"/>
        <w:rPr>
          <w:rFonts w:ascii="Times New Roman" w:eastAsia="Times New Roman" w:hAnsi="Times New Roman" w:cs="Times New Roman"/>
          <w:b/>
          <w:sz w:val="28"/>
          <w:szCs w:val="28"/>
        </w:rPr>
      </w:pPr>
      <w:r w:rsidRPr="000F7BD1">
        <w:rPr>
          <w:rFonts w:ascii="Times New Roman" w:eastAsia="Times New Roman" w:hAnsi="Times New Roman" w:cs="Times New Roman"/>
          <w:b/>
          <w:sz w:val="28"/>
          <w:szCs w:val="28"/>
        </w:rPr>
        <w:t>II. TỒN TẠI, HẠN CHẾ, KH</w:t>
      </w:r>
      <w:r w:rsidRPr="000F7BD1">
        <w:rPr>
          <w:rFonts w:ascii="Times New Roman" w:eastAsia="Times New Roman" w:hAnsi="Times New Roman" w:cs="Times New Roman" w:hint="eastAsia"/>
          <w:b/>
          <w:sz w:val="28"/>
          <w:szCs w:val="28"/>
        </w:rPr>
        <w:t>Ó</w:t>
      </w:r>
      <w:r w:rsidRPr="000F7BD1">
        <w:rPr>
          <w:rFonts w:ascii="Times New Roman" w:eastAsia="Times New Roman" w:hAnsi="Times New Roman" w:cs="Times New Roman"/>
          <w:b/>
          <w:sz w:val="28"/>
          <w:szCs w:val="28"/>
        </w:rPr>
        <w:t xml:space="preserve"> KH</w:t>
      </w:r>
      <w:r w:rsidRPr="000F7BD1">
        <w:rPr>
          <w:rFonts w:ascii="Times New Roman" w:eastAsia="Times New Roman" w:hAnsi="Times New Roman" w:cs="Times New Roman" w:hint="eastAsia"/>
          <w:b/>
          <w:sz w:val="28"/>
          <w:szCs w:val="28"/>
        </w:rPr>
        <w:t>Ă</w:t>
      </w:r>
      <w:r w:rsidRPr="000F7BD1">
        <w:rPr>
          <w:rFonts w:ascii="Times New Roman" w:eastAsia="Times New Roman" w:hAnsi="Times New Roman" w:cs="Times New Roman"/>
          <w:b/>
          <w:sz w:val="28"/>
          <w:szCs w:val="28"/>
        </w:rPr>
        <w:t>N, V</w:t>
      </w:r>
      <w:r w:rsidRPr="000F7BD1">
        <w:rPr>
          <w:rFonts w:ascii="Times New Roman" w:eastAsia="Times New Roman" w:hAnsi="Times New Roman" w:cs="Times New Roman" w:hint="eastAsia"/>
          <w:b/>
          <w:sz w:val="28"/>
          <w:szCs w:val="28"/>
        </w:rPr>
        <w:t>Ư</w:t>
      </w:r>
      <w:r w:rsidRPr="000F7BD1">
        <w:rPr>
          <w:rFonts w:ascii="Times New Roman" w:eastAsia="Times New Roman" w:hAnsi="Times New Roman" w:cs="Times New Roman"/>
          <w:b/>
          <w:sz w:val="28"/>
          <w:szCs w:val="28"/>
        </w:rPr>
        <w:t>ỚNG MẮC TRONG QU</w:t>
      </w:r>
      <w:r w:rsidRPr="000F7BD1">
        <w:rPr>
          <w:rFonts w:ascii="Times New Roman" w:eastAsia="Times New Roman" w:hAnsi="Times New Roman" w:cs="Times New Roman" w:hint="eastAsia"/>
          <w:b/>
          <w:sz w:val="28"/>
          <w:szCs w:val="28"/>
        </w:rPr>
        <w:t>Á</w:t>
      </w:r>
      <w:r w:rsidRPr="000F7BD1">
        <w:rPr>
          <w:rFonts w:ascii="Times New Roman" w:eastAsia="Times New Roman" w:hAnsi="Times New Roman" w:cs="Times New Roman"/>
          <w:b/>
          <w:sz w:val="28"/>
          <w:szCs w:val="28"/>
        </w:rPr>
        <w:t xml:space="preserve"> TR</w:t>
      </w:r>
      <w:r w:rsidRPr="000F7BD1">
        <w:rPr>
          <w:rFonts w:ascii="Times New Roman" w:eastAsia="Times New Roman" w:hAnsi="Times New Roman" w:cs="Times New Roman" w:hint="eastAsia"/>
          <w:b/>
          <w:sz w:val="28"/>
          <w:szCs w:val="28"/>
        </w:rPr>
        <w:t>Ì</w:t>
      </w:r>
      <w:r w:rsidRPr="000F7BD1">
        <w:rPr>
          <w:rFonts w:ascii="Times New Roman" w:eastAsia="Times New Roman" w:hAnsi="Times New Roman" w:cs="Times New Roman"/>
          <w:b/>
          <w:sz w:val="28"/>
          <w:szCs w:val="28"/>
        </w:rPr>
        <w:t>NH THI H</w:t>
      </w:r>
      <w:r w:rsidRPr="000F7BD1">
        <w:rPr>
          <w:rFonts w:ascii="Times New Roman" w:eastAsia="Times New Roman" w:hAnsi="Times New Roman" w:cs="Times New Roman" w:hint="eastAsia"/>
          <w:b/>
          <w:sz w:val="28"/>
          <w:szCs w:val="28"/>
        </w:rPr>
        <w:t>À</w:t>
      </w:r>
      <w:r w:rsidRPr="000F7BD1">
        <w:rPr>
          <w:rFonts w:ascii="Times New Roman" w:eastAsia="Times New Roman" w:hAnsi="Times New Roman" w:cs="Times New Roman"/>
          <w:b/>
          <w:sz w:val="28"/>
          <w:szCs w:val="28"/>
        </w:rPr>
        <w:t xml:space="preserve">NH </w:t>
      </w:r>
      <w:r w:rsidR="00B5242A">
        <w:rPr>
          <w:rFonts w:ascii="Times New Roman" w:eastAsia="Times New Roman" w:hAnsi="Times New Roman" w:cs="Times New Roman"/>
          <w:b/>
          <w:sz w:val="28"/>
          <w:szCs w:val="28"/>
        </w:rPr>
        <w:t xml:space="preserve">CÁC QUY ĐỊNH </w:t>
      </w:r>
      <w:r w:rsidRPr="000F7BD1">
        <w:rPr>
          <w:rFonts w:ascii="Times New Roman" w:eastAsia="Times New Roman" w:hAnsi="Times New Roman" w:cs="Times New Roman"/>
          <w:b/>
          <w:sz w:val="28"/>
          <w:szCs w:val="28"/>
        </w:rPr>
        <w:t xml:space="preserve">LUẬT TỐ TỤNG HÀNH CHÍNH NĂM 2015 </w:t>
      </w:r>
      <w:r w:rsidR="00B5242A">
        <w:rPr>
          <w:rFonts w:ascii="Times New Roman" w:eastAsia="Times New Roman" w:hAnsi="Times New Roman" w:cs="Times New Roman"/>
          <w:b/>
          <w:sz w:val="28"/>
          <w:szCs w:val="28"/>
        </w:rPr>
        <w:t>LIÊN QUAN ĐẾN CHỨC NĂNG, NHIỆM VỤ CỦA BỘ, NGÀNH TƯ PHÁP</w:t>
      </w:r>
    </w:p>
    <w:p w14:paraId="7389B67D" w14:textId="2BAC3878" w:rsidR="000F7BD1" w:rsidRDefault="000F7BD1" w:rsidP="001206C6">
      <w:pPr>
        <w:tabs>
          <w:tab w:val="left" w:pos="851"/>
          <w:tab w:val="left" w:pos="1276"/>
        </w:tabs>
        <w:spacing w:before="120" w:after="120" w:line="360" w:lineRule="exact"/>
        <w:ind w:firstLine="709"/>
        <w:jc w:val="both"/>
        <w:rPr>
          <w:rFonts w:ascii="Times New Roman" w:eastAsia="Times New Roman" w:hAnsi="Times New Roman" w:cs="Times New Roman"/>
          <w:b/>
          <w:sz w:val="28"/>
          <w:szCs w:val="28"/>
        </w:rPr>
      </w:pPr>
      <w:r w:rsidRPr="000F7BD1">
        <w:rPr>
          <w:rFonts w:ascii="Times New Roman" w:eastAsia="Times New Roman" w:hAnsi="Times New Roman" w:cs="Times New Roman"/>
          <w:b/>
          <w:sz w:val="28"/>
          <w:szCs w:val="28"/>
        </w:rPr>
        <w:t>1. Tồn tại, hạn chế</w:t>
      </w:r>
      <w:r w:rsidR="00E31952">
        <w:rPr>
          <w:rFonts w:ascii="Times New Roman" w:eastAsia="Times New Roman" w:hAnsi="Times New Roman" w:cs="Times New Roman"/>
          <w:b/>
          <w:sz w:val="28"/>
          <w:szCs w:val="28"/>
        </w:rPr>
        <w:t xml:space="preserve"> </w:t>
      </w:r>
    </w:p>
    <w:p w14:paraId="4D89E2FB" w14:textId="5001F74F" w:rsidR="00E31952" w:rsidRPr="000F7BD1" w:rsidRDefault="00E31952" w:rsidP="001206C6">
      <w:pPr>
        <w:tabs>
          <w:tab w:val="left" w:pos="851"/>
          <w:tab w:val="left" w:pos="1276"/>
        </w:tabs>
        <w:spacing w:before="120" w:after="120" w:line="360" w:lineRule="exact"/>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Khó khăn, vướng mắc</w:t>
      </w:r>
    </w:p>
    <w:p w14:paraId="052ADB91" w14:textId="4E0C9AFA" w:rsidR="000F7BD1" w:rsidRPr="000F7BD1" w:rsidRDefault="00E31952" w:rsidP="001206C6">
      <w:pPr>
        <w:tabs>
          <w:tab w:val="left" w:pos="851"/>
          <w:tab w:val="left" w:pos="1276"/>
        </w:tabs>
        <w:spacing w:before="120" w:after="120" w:line="360" w:lineRule="exact"/>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0F7BD1" w:rsidRPr="000F7BD1">
        <w:rPr>
          <w:rFonts w:ascii="Times New Roman" w:eastAsia="Times New Roman" w:hAnsi="Times New Roman" w:cs="Times New Roman"/>
          <w:b/>
          <w:sz w:val="28"/>
          <w:szCs w:val="28"/>
        </w:rPr>
        <w:t>. Nguyên nhân</w:t>
      </w:r>
    </w:p>
    <w:p w14:paraId="5835EA6B" w14:textId="77777777" w:rsidR="000F7BD1" w:rsidRPr="000F7BD1" w:rsidRDefault="000F7BD1" w:rsidP="001206C6">
      <w:pPr>
        <w:tabs>
          <w:tab w:val="left" w:pos="851"/>
          <w:tab w:val="left" w:pos="1276"/>
        </w:tabs>
        <w:spacing w:before="120" w:after="120" w:line="36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a) Nguyên nhân khách quan</w:t>
      </w:r>
    </w:p>
    <w:p w14:paraId="276EF32C" w14:textId="77777777" w:rsidR="000F7BD1" w:rsidRPr="000F7BD1" w:rsidRDefault="000F7BD1" w:rsidP="001206C6">
      <w:pPr>
        <w:tabs>
          <w:tab w:val="left" w:pos="851"/>
          <w:tab w:val="left" w:pos="1276"/>
        </w:tabs>
        <w:spacing w:before="120" w:after="120" w:line="36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b) Nguyên nhân chủ quan</w:t>
      </w:r>
    </w:p>
    <w:p w14:paraId="6673B2D4" w14:textId="77777777" w:rsidR="000F7BD1" w:rsidRPr="000F7BD1" w:rsidRDefault="000F7BD1" w:rsidP="001206C6">
      <w:pPr>
        <w:tabs>
          <w:tab w:val="left" w:pos="851"/>
          <w:tab w:val="left" w:pos="1276"/>
        </w:tabs>
        <w:spacing w:before="120" w:after="120" w:line="360" w:lineRule="exact"/>
        <w:ind w:firstLine="709"/>
        <w:jc w:val="both"/>
        <w:rPr>
          <w:rFonts w:ascii="Times New Roman" w:eastAsia="Times New Roman" w:hAnsi="Times New Roman" w:cs="Times New Roman"/>
          <w:b/>
          <w:sz w:val="28"/>
          <w:szCs w:val="28"/>
        </w:rPr>
      </w:pPr>
      <w:r w:rsidRPr="000F7BD1">
        <w:rPr>
          <w:rFonts w:ascii="Times New Roman" w:eastAsia="Times New Roman" w:hAnsi="Times New Roman" w:cs="Times New Roman"/>
          <w:b/>
          <w:sz w:val="28"/>
          <w:szCs w:val="28"/>
        </w:rPr>
        <w:t>III. ĐỀ XUẤT, KIẾN NGHỊ</w:t>
      </w:r>
    </w:p>
    <w:p w14:paraId="7FA052AB" w14:textId="75BEA3C5" w:rsidR="000F7BD1" w:rsidRPr="0040615C" w:rsidRDefault="000F7BD1" w:rsidP="001206C6">
      <w:pPr>
        <w:tabs>
          <w:tab w:val="left" w:pos="851"/>
          <w:tab w:val="left" w:pos="1276"/>
        </w:tabs>
        <w:spacing w:before="120" w:after="120" w:line="360" w:lineRule="exact"/>
        <w:ind w:firstLine="709"/>
        <w:jc w:val="both"/>
        <w:rPr>
          <w:rFonts w:ascii="Times New Roman" w:eastAsia="Times New Roman" w:hAnsi="Times New Roman" w:cs="Times New Roman"/>
          <w:sz w:val="28"/>
          <w:szCs w:val="28"/>
        </w:rPr>
      </w:pPr>
      <w:r w:rsidRPr="0040615C">
        <w:rPr>
          <w:rFonts w:ascii="Times New Roman" w:eastAsia="Times New Roman" w:hAnsi="Times New Roman" w:cs="Times New Roman"/>
          <w:sz w:val="28"/>
          <w:szCs w:val="28"/>
        </w:rPr>
        <w:t>Trên cơ sở kết quả đánh giá nêu trên, nhất là về những tồn tại, hạn chế, khó khăn, vướng mắc, cơ quan xây dựng báo cáo đề xuất định hướng sửa đổi, bổ sung một số quy định của Luật T</w:t>
      </w:r>
      <w:r w:rsidR="00BD7930" w:rsidRPr="0040615C">
        <w:rPr>
          <w:rFonts w:ascii="Times New Roman" w:eastAsia="Times New Roman" w:hAnsi="Times New Roman" w:cs="Times New Roman"/>
          <w:sz w:val="28"/>
          <w:szCs w:val="28"/>
        </w:rPr>
        <w:t>ố tụng hành chính</w:t>
      </w:r>
      <w:r w:rsidRPr="0040615C">
        <w:rPr>
          <w:rFonts w:ascii="Times New Roman" w:eastAsia="Times New Roman" w:hAnsi="Times New Roman" w:cs="Times New Roman"/>
          <w:sz w:val="28"/>
          <w:szCs w:val="28"/>
        </w:rPr>
        <w:t xml:space="preserve"> năm 2015 nhằm nâng cao hiệu quả thi hành.</w:t>
      </w:r>
    </w:p>
    <w:p w14:paraId="744C7EFA" w14:textId="506891D2" w:rsidR="007D2D7F" w:rsidRPr="00401BA4" w:rsidRDefault="000F7BD1" w:rsidP="00401BA4">
      <w:pPr>
        <w:tabs>
          <w:tab w:val="left" w:pos="851"/>
          <w:tab w:val="left" w:pos="1276"/>
        </w:tabs>
        <w:spacing w:before="120" w:after="120" w:line="36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Những kiến nghị, đề xuất khác (nếu có).</w:t>
      </w:r>
    </w:p>
    <w:sectPr w:rsidR="007D2D7F" w:rsidRPr="00401BA4" w:rsidSect="007D2D7F">
      <w:headerReference w:type="default" r:id="rId8"/>
      <w:headerReference w:type="first" r:id="rId9"/>
      <w:footerReference w:type="first" r:id="rId10"/>
      <w:pgSz w:w="11909" w:h="16834" w:code="9"/>
      <w:pgMar w:top="1138" w:right="1138" w:bottom="1008" w:left="1699" w:header="461" w:footer="34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D1A0" w14:textId="77777777" w:rsidR="00200233" w:rsidRDefault="00200233">
      <w:pPr>
        <w:spacing w:after="0" w:line="240" w:lineRule="auto"/>
      </w:pPr>
      <w:r>
        <w:separator/>
      </w:r>
    </w:p>
  </w:endnote>
  <w:endnote w:type="continuationSeparator" w:id="0">
    <w:p w14:paraId="7021563B" w14:textId="77777777" w:rsidR="00200233" w:rsidRDefault="0020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3DCA" w14:textId="77777777" w:rsidR="00000000" w:rsidRDefault="00000000">
    <w:pPr>
      <w:pStyle w:val="Footer"/>
    </w:pPr>
  </w:p>
  <w:p w14:paraId="61C7563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E053" w14:textId="77777777" w:rsidR="00200233" w:rsidRDefault="00200233">
      <w:pPr>
        <w:spacing w:after="0" w:line="240" w:lineRule="auto"/>
      </w:pPr>
      <w:r>
        <w:separator/>
      </w:r>
    </w:p>
  </w:footnote>
  <w:footnote w:type="continuationSeparator" w:id="0">
    <w:p w14:paraId="4BB351A5" w14:textId="77777777" w:rsidR="00200233" w:rsidRDefault="00200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137770"/>
      <w:docPartObj>
        <w:docPartGallery w:val="Page Numbers (Top of Page)"/>
        <w:docPartUnique/>
      </w:docPartObj>
    </w:sdtPr>
    <w:sdtEndPr>
      <w:rPr>
        <w:noProof/>
      </w:rPr>
    </w:sdtEndPr>
    <w:sdtContent>
      <w:p w14:paraId="2CFB41E4" w14:textId="77777777" w:rsidR="001B34D1" w:rsidRDefault="001B34D1">
        <w:pPr>
          <w:pStyle w:val="Header"/>
          <w:jc w:val="center"/>
        </w:pPr>
        <w:r>
          <w:fldChar w:fldCharType="begin"/>
        </w:r>
        <w:r>
          <w:instrText xml:space="preserve"> PAGE   \* MERGEFORMAT </w:instrText>
        </w:r>
        <w:r>
          <w:fldChar w:fldCharType="separate"/>
        </w:r>
        <w:r w:rsidR="003859D0">
          <w:rPr>
            <w:noProof/>
          </w:rPr>
          <w:t>2</w:t>
        </w:r>
        <w:r>
          <w:rPr>
            <w:noProof/>
          </w:rPr>
          <w:fldChar w:fldCharType="end"/>
        </w:r>
      </w:p>
    </w:sdtContent>
  </w:sdt>
  <w:p w14:paraId="3E1B8C76" w14:textId="77777777" w:rsidR="009E6552" w:rsidRDefault="009E6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AC15" w14:textId="77777777" w:rsidR="00913777" w:rsidRDefault="00913777">
    <w:pPr>
      <w:pStyle w:val="Header"/>
      <w:jc w:val="center"/>
    </w:pPr>
  </w:p>
  <w:p w14:paraId="4199528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759E"/>
    <w:multiLevelType w:val="hybridMultilevel"/>
    <w:tmpl w:val="373676AA"/>
    <w:lvl w:ilvl="0" w:tplc="6A7800F0">
      <w:start w:val="1"/>
      <w:numFmt w:val="bullet"/>
      <w:lvlText w:val="-"/>
      <w:lvlJc w:val="left"/>
      <w:pPr>
        <w:ind w:left="150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91344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BD1"/>
    <w:rsid w:val="00012F91"/>
    <w:rsid w:val="000677FC"/>
    <w:rsid w:val="00082C83"/>
    <w:rsid w:val="000963A3"/>
    <w:rsid w:val="000F7BD1"/>
    <w:rsid w:val="0011495C"/>
    <w:rsid w:val="001206C6"/>
    <w:rsid w:val="001629A1"/>
    <w:rsid w:val="001A674A"/>
    <w:rsid w:val="001B34D1"/>
    <w:rsid w:val="001C1035"/>
    <w:rsid w:val="001C5E80"/>
    <w:rsid w:val="00200233"/>
    <w:rsid w:val="00206B5F"/>
    <w:rsid w:val="0023200C"/>
    <w:rsid w:val="00260EB7"/>
    <w:rsid w:val="00267BAC"/>
    <w:rsid w:val="002851CC"/>
    <w:rsid w:val="002B4C0B"/>
    <w:rsid w:val="002D50D6"/>
    <w:rsid w:val="002D61FD"/>
    <w:rsid w:val="003119E1"/>
    <w:rsid w:val="00335C95"/>
    <w:rsid w:val="00355852"/>
    <w:rsid w:val="003859D0"/>
    <w:rsid w:val="00385DBA"/>
    <w:rsid w:val="00395643"/>
    <w:rsid w:val="003F01F5"/>
    <w:rsid w:val="00401B39"/>
    <w:rsid w:val="00401BA4"/>
    <w:rsid w:val="0040615C"/>
    <w:rsid w:val="004A5948"/>
    <w:rsid w:val="004E737B"/>
    <w:rsid w:val="004F7C15"/>
    <w:rsid w:val="00520B84"/>
    <w:rsid w:val="0053010E"/>
    <w:rsid w:val="00556DC3"/>
    <w:rsid w:val="005B2730"/>
    <w:rsid w:val="005B5574"/>
    <w:rsid w:val="005C5CDF"/>
    <w:rsid w:val="00611F25"/>
    <w:rsid w:val="00647D83"/>
    <w:rsid w:val="0069359C"/>
    <w:rsid w:val="006A4F93"/>
    <w:rsid w:val="006E08D4"/>
    <w:rsid w:val="006E603E"/>
    <w:rsid w:val="006F5E81"/>
    <w:rsid w:val="007247EE"/>
    <w:rsid w:val="0079196E"/>
    <w:rsid w:val="00794178"/>
    <w:rsid w:val="00794D19"/>
    <w:rsid w:val="007D2D7F"/>
    <w:rsid w:val="007F2CC3"/>
    <w:rsid w:val="007F30E2"/>
    <w:rsid w:val="00845EAE"/>
    <w:rsid w:val="0086111D"/>
    <w:rsid w:val="0088551C"/>
    <w:rsid w:val="008E1F43"/>
    <w:rsid w:val="00913777"/>
    <w:rsid w:val="00916103"/>
    <w:rsid w:val="009718E8"/>
    <w:rsid w:val="009860AD"/>
    <w:rsid w:val="009C1702"/>
    <w:rsid w:val="009E325A"/>
    <w:rsid w:val="009E457A"/>
    <w:rsid w:val="009E6552"/>
    <w:rsid w:val="009E7FA1"/>
    <w:rsid w:val="00A14F77"/>
    <w:rsid w:val="00A65F68"/>
    <w:rsid w:val="00A866F6"/>
    <w:rsid w:val="00AA1636"/>
    <w:rsid w:val="00AE7A95"/>
    <w:rsid w:val="00AF74B1"/>
    <w:rsid w:val="00B5242A"/>
    <w:rsid w:val="00BD7930"/>
    <w:rsid w:val="00BF264E"/>
    <w:rsid w:val="00C14068"/>
    <w:rsid w:val="00C4151D"/>
    <w:rsid w:val="00C530F5"/>
    <w:rsid w:val="00CB3A51"/>
    <w:rsid w:val="00CD2825"/>
    <w:rsid w:val="00CE3657"/>
    <w:rsid w:val="00D74980"/>
    <w:rsid w:val="00DC4229"/>
    <w:rsid w:val="00DF3283"/>
    <w:rsid w:val="00E31952"/>
    <w:rsid w:val="00E328BF"/>
    <w:rsid w:val="00FA6D79"/>
    <w:rsid w:val="00FD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26A3"/>
  <w15:docId w15:val="{82BD659B-5983-420D-8E63-422AA3AE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BD1"/>
    <w:pPr>
      <w:tabs>
        <w:tab w:val="center" w:pos="4680"/>
        <w:tab w:val="right" w:pos="9360"/>
      </w:tabs>
      <w:spacing w:after="0" w:line="240" w:lineRule="auto"/>
    </w:pPr>
    <w:rPr>
      <w:rFonts w:ascii="Times New Roman" w:eastAsiaTheme="minorEastAsia" w:hAnsi="Times New Roman" w:cs="Times New Roman"/>
      <w:sz w:val="28"/>
      <w:szCs w:val="28"/>
    </w:rPr>
  </w:style>
  <w:style w:type="character" w:customStyle="1" w:styleId="HeaderChar">
    <w:name w:val="Header Char"/>
    <w:basedOn w:val="DefaultParagraphFont"/>
    <w:link w:val="Header"/>
    <w:uiPriority w:val="99"/>
    <w:rsid w:val="000F7BD1"/>
    <w:rPr>
      <w:rFonts w:ascii="Times New Roman" w:eastAsiaTheme="minorEastAsia" w:hAnsi="Times New Roman" w:cs="Times New Roman"/>
      <w:sz w:val="28"/>
      <w:szCs w:val="28"/>
    </w:rPr>
  </w:style>
  <w:style w:type="paragraph" w:styleId="Footer">
    <w:name w:val="footer"/>
    <w:basedOn w:val="Normal"/>
    <w:link w:val="FooterChar"/>
    <w:uiPriority w:val="99"/>
    <w:unhideWhenUsed/>
    <w:rsid w:val="000F7BD1"/>
    <w:pPr>
      <w:tabs>
        <w:tab w:val="center" w:pos="4680"/>
        <w:tab w:val="right" w:pos="9360"/>
      </w:tabs>
      <w:spacing w:after="0" w:line="240" w:lineRule="auto"/>
    </w:pPr>
    <w:rPr>
      <w:rFonts w:ascii="Times New Roman" w:eastAsiaTheme="minorEastAsia" w:hAnsi="Times New Roman" w:cs="Times New Roman"/>
      <w:sz w:val="28"/>
      <w:szCs w:val="28"/>
    </w:rPr>
  </w:style>
  <w:style w:type="character" w:customStyle="1" w:styleId="FooterChar">
    <w:name w:val="Footer Char"/>
    <w:basedOn w:val="DefaultParagraphFont"/>
    <w:link w:val="Footer"/>
    <w:uiPriority w:val="99"/>
    <w:rsid w:val="000F7BD1"/>
    <w:rPr>
      <w:rFonts w:ascii="Times New Roman" w:eastAsiaTheme="minorEastAsia" w:hAnsi="Times New Roman" w:cs="Times New Roman"/>
      <w:sz w:val="28"/>
      <w:szCs w:val="28"/>
    </w:rPr>
  </w:style>
  <w:style w:type="paragraph" w:styleId="BalloonText">
    <w:name w:val="Balloon Text"/>
    <w:basedOn w:val="Normal"/>
    <w:link w:val="BalloonTextChar"/>
    <w:uiPriority w:val="99"/>
    <w:semiHidden/>
    <w:unhideWhenUsed/>
    <w:rsid w:val="00611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F25"/>
    <w:rPr>
      <w:rFonts w:ascii="Tahoma" w:hAnsi="Tahoma" w:cs="Tahoma"/>
      <w:sz w:val="16"/>
      <w:szCs w:val="16"/>
    </w:rPr>
  </w:style>
  <w:style w:type="paragraph" w:styleId="ListParagraph">
    <w:name w:val="List Paragraph"/>
    <w:basedOn w:val="Normal"/>
    <w:uiPriority w:val="34"/>
    <w:qFormat/>
    <w:rsid w:val="00E31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368B0-7F81-4C33-921B-9F80D7FDC407}">
  <ds:schemaRefs>
    <ds:schemaRef ds:uri="http://schemas.openxmlformats.org/officeDocument/2006/bibliography"/>
  </ds:schemaRefs>
</ds:datastoreItem>
</file>

<file path=customXml/itemProps2.xml><?xml version="1.0" encoding="utf-8"?>
<ds:datastoreItem xmlns:ds="http://schemas.openxmlformats.org/officeDocument/2006/customXml" ds:itemID="{F8EB511D-07D2-4E66-A45E-B97C67EF8936}"/>
</file>

<file path=customXml/itemProps3.xml><?xml version="1.0" encoding="utf-8"?>
<ds:datastoreItem xmlns:ds="http://schemas.openxmlformats.org/officeDocument/2006/customXml" ds:itemID="{9D5572C4-7EAD-493D-BF09-9C27074C7198}"/>
</file>

<file path=customXml/itemProps4.xml><?xml version="1.0" encoding="utf-8"?>
<ds:datastoreItem xmlns:ds="http://schemas.openxmlformats.org/officeDocument/2006/customXml" ds:itemID="{7F36336D-C949-44AD-A13D-B0B0E45DFEC3}"/>
</file>

<file path=docProps/app.xml><?xml version="1.0" encoding="utf-8"?>
<Properties xmlns="http://schemas.openxmlformats.org/officeDocument/2006/extended-properties" xmlns:vt="http://schemas.openxmlformats.org/officeDocument/2006/docPropsVTypes">
  <Template>Normal</Template>
  <TotalTime>54</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bantt_nv3</dc:creator>
  <cp:lastModifiedBy>SingPC</cp:lastModifiedBy>
  <cp:revision>12</cp:revision>
  <cp:lastPrinted>2023-08-01T17:41:00Z</cp:lastPrinted>
  <dcterms:created xsi:type="dcterms:W3CDTF">2023-07-27T01:02:00Z</dcterms:created>
  <dcterms:modified xsi:type="dcterms:W3CDTF">2023-08-02T08:50:00Z</dcterms:modified>
</cp:coreProperties>
</file>