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2" w:type="dxa"/>
        <w:tblInd w:w="-885" w:type="dxa"/>
        <w:tblLook w:val="01E0" w:firstRow="1" w:lastRow="1" w:firstColumn="1" w:lastColumn="1" w:noHBand="0" w:noVBand="0"/>
      </w:tblPr>
      <w:tblGrid>
        <w:gridCol w:w="1028"/>
        <w:gridCol w:w="4075"/>
        <w:gridCol w:w="774"/>
        <w:gridCol w:w="4647"/>
        <w:gridCol w:w="108"/>
      </w:tblGrid>
      <w:tr w:rsidR="005C7AE7" w:rsidRPr="005158AA" w14:paraId="2F2A09DC" w14:textId="77777777" w:rsidTr="00B37086">
        <w:tc>
          <w:tcPr>
            <w:tcW w:w="5103" w:type="dxa"/>
            <w:gridSpan w:val="2"/>
          </w:tcPr>
          <w:p w14:paraId="17576D36" w14:textId="77777777" w:rsidR="00814CB1" w:rsidRPr="00814CB1" w:rsidRDefault="00814CB1" w:rsidP="00B37086">
            <w:pPr>
              <w:pStyle w:val="Heading1"/>
              <w:jc w:val="center"/>
              <w:rPr>
                <w:rFonts w:ascii="Times New Roman" w:hAnsi="Times New Roman"/>
                <w:b w:val="0"/>
                <w:lang w:val="en-US" w:eastAsia="en-US"/>
              </w:rPr>
            </w:pPr>
            <w:r w:rsidRPr="00BB08F6">
              <w:rPr>
                <w:lang w:val="en-US" w:eastAsia="en-US"/>
              </w:rPr>
              <w:br w:type="page"/>
            </w:r>
            <w:r w:rsidRPr="00BB08F6">
              <w:rPr>
                <w:lang w:val="en-US" w:eastAsia="en-US"/>
              </w:rPr>
              <w:br w:type="page"/>
            </w:r>
            <w:r w:rsidRPr="00BB08F6">
              <w:rPr>
                <w:lang w:val="en-US" w:eastAsia="en-US"/>
              </w:rPr>
              <w:br w:type="page"/>
            </w:r>
            <w:r w:rsidRPr="00BB08F6">
              <w:rPr>
                <w:lang w:val="en-US" w:eastAsia="en-US"/>
              </w:rPr>
              <w:br w:type="page"/>
            </w:r>
            <w:r w:rsidRPr="00BB08F6">
              <w:rPr>
                <w:lang w:val="en-US" w:eastAsia="en-US"/>
              </w:rPr>
              <w:br w:type="page"/>
            </w:r>
            <w:r w:rsidRPr="00BB08F6">
              <w:rPr>
                <w:lang w:val="en-US" w:eastAsia="en-US"/>
              </w:rPr>
              <w:br w:type="page"/>
            </w:r>
            <w:r w:rsidRPr="00BB08F6">
              <w:rPr>
                <w:lang w:val="en-US" w:eastAsia="en-US"/>
              </w:rPr>
              <w:br w:type="page"/>
            </w:r>
            <w:r w:rsidRPr="00BB08F6">
              <w:rPr>
                <w:lang w:val="en-US" w:eastAsia="en-US"/>
              </w:rPr>
              <w:br w:type="page"/>
            </w:r>
            <w:r w:rsidRPr="00BB08F6">
              <w:rPr>
                <w:lang w:val="en-US" w:eastAsia="en-US"/>
              </w:rPr>
              <w:br w:type="page"/>
            </w:r>
            <w:r w:rsidRPr="00BB08F6">
              <w:rPr>
                <w:lang w:val="en-US" w:eastAsia="en-US"/>
              </w:rPr>
              <w:br w:type="page"/>
            </w:r>
            <w:r w:rsidRPr="00BB08F6">
              <w:rPr>
                <w:lang w:val="en-US" w:eastAsia="en-US"/>
              </w:rPr>
              <w:br w:type="page"/>
            </w:r>
            <w:r w:rsidRPr="00BB08F6">
              <w:rPr>
                <w:lang w:val="en-US" w:eastAsia="en-US"/>
              </w:rPr>
              <w:br w:type="page"/>
            </w:r>
            <w:r w:rsidRPr="00BB08F6">
              <w:rPr>
                <w:lang w:val="en-US" w:eastAsia="en-US"/>
              </w:rPr>
              <w:br w:type="page"/>
            </w:r>
            <w:r w:rsidRPr="00BB08F6">
              <w:rPr>
                <w:lang w:val="en-US" w:eastAsia="en-US"/>
              </w:rPr>
              <w:br w:type="page"/>
            </w:r>
            <w:r w:rsidRPr="00BB08F6">
              <w:rPr>
                <w:lang w:val="en-US" w:eastAsia="en-US"/>
              </w:rPr>
              <w:br w:type="page"/>
            </w:r>
            <w:r w:rsidRPr="00BB08F6">
              <w:rPr>
                <w:lang w:val="en-US" w:eastAsia="en-US"/>
              </w:rPr>
              <w:br w:type="page"/>
            </w:r>
            <w:r w:rsidRPr="00BB08F6">
              <w:rPr>
                <w:lang w:val="en-US" w:eastAsia="en-US"/>
              </w:rPr>
              <w:br w:type="page"/>
            </w:r>
            <w:r w:rsidRPr="00BB08F6">
              <w:rPr>
                <w:lang w:val="en-US" w:eastAsia="en-US"/>
              </w:rPr>
              <w:br w:type="page"/>
            </w:r>
            <w:r w:rsidRPr="00BB08F6">
              <w:rPr>
                <w:lang w:val="en-US" w:eastAsia="en-US"/>
              </w:rPr>
              <w:br w:type="page"/>
            </w:r>
            <w:r w:rsidRPr="00BB08F6">
              <w:rPr>
                <w:lang w:val="en-US" w:eastAsia="en-US"/>
              </w:rPr>
              <w:br w:type="page"/>
            </w:r>
            <w:r w:rsidRPr="00814CB1">
              <w:rPr>
                <w:rFonts w:ascii="Times New Roman" w:hAnsi="Times New Roman"/>
                <w:b w:val="0"/>
                <w:lang w:val="en-US" w:eastAsia="en-US"/>
              </w:rPr>
              <w:t>BỘ TƯ PHÁP</w:t>
            </w:r>
          </w:p>
          <w:p w14:paraId="1005806B" w14:textId="77777777" w:rsidR="00814CB1" w:rsidRPr="00814CB1" w:rsidRDefault="00814CB1" w:rsidP="00B37086">
            <w:pPr>
              <w:pStyle w:val="Heading1"/>
              <w:jc w:val="center"/>
              <w:rPr>
                <w:rFonts w:ascii="Times New Roman" w:hAnsi="Times New Roman"/>
                <w:spacing w:val="-4"/>
                <w:sz w:val="26"/>
                <w:szCs w:val="26"/>
              </w:rPr>
            </w:pPr>
            <w:r w:rsidRPr="00814CB1">
              <w:rPr>
                <w:rFonts w:ascii="Times New Roman" w:hAnsi="Times New Roman"/>
                <w:spacing w:val="-4"/>
                <w:sz w:val="26"/>
                <w:szCs w:val="26"/>
              </w:rPr>
              <w:t xml:space="preserve">CỤC </w:t>
            </w:r>
            <w:r w:rsidR="005C7AE7">
              <w:rPr>
                <w:rFonts w:ascii="Times New Roman" w:hAnsi="Times New Roman"/>
                <w:spacing w:val="-4"/>
                <w:sz w:val="26"/>
                <w:szCs w:val="26"/>
                <w:lang w:val="en-US"/>
              </w:rPr>
              <w:t>QUẢN</w:t>
            </w:r>
            <w:r w:rsidR="005C7AE7">
              <w:rPr>
                <w:rFonts w:ascii="Times New Roman" w:hAnsi="Times New Roman"/>
                <w:spacing w:val="-4"/>
                <w:sz w:val="26"/>
                <w:szCs w:val="26"/>
                <w:lang w:val="vi-VN"/>
              </w:rPr>
              <w:t xml:space="preserve"> LÝ </w:t>
            </w:r>
            <w:r w:rsidRPr="00814CB1">
              <w:rPr>
                <w:rFonts w:ascii="Times New Roman" w:hAnsi="Times New Roman"/>
                <w:spacing w:val="-4"/>
                <w:sz w:val="26"/>
                <w:szCs w:val="26"/>
              </w:rPr>
              <w:t>THI HÀNH ÁN DÂN SỰ</w:t>
            </w:r>
          </w:p>
          <w:p w14:paraId="3E1C4D81" w14:textId="0AAE97DB" w:rsidR="00814CB1" w:rsidRPr="005158AA" w:rsidRDefault="00B52809" w:rsidP="00B37086">
            <w:pPr>
              <w:tabs>
                <w:tab w:val="left" w:pos="1364"/>
              </w:tabs>
              <w:jc w:val="center"/>
              <w:rPr>
                <w:spacing w:val="-4"/>
                <w:sz w:val="26"/>
                <w:szCs w:val="26"/>
              </w:rPr>
            </w:pPr>
            <w:r>
              <w:rPr>
                <w:noProof/>
                <w:spacing w:val="-4"/>
                <w:sz w:val="26"/>
                <w:szCs w:val="26"/>
              </w:rPr>
              <mc:AlternateContent>
                <mc:Choice Requires="wps">
                  <w:drawing>
                    <wp:anchor distT="0" distB="0" distL="114300" distR="114300" simplePos="0" relativeHeight="251662336" behindDoc="0" locked="0" layoutInCell="1" allowOverlap="1" wp14:anchorId="0DA46F14" wp14:editId="68124EC3">
                      <wp:simplePos x="0" y="0"/>
                      <wp:positionH relativeFrom="column">
                        <wp:posOffset>1163955</wp:posOffset>
                      </wp:positionH>
                      <wp:positionV relativeFrom="paragraph">
                        <wp:posOffset>20955</wp:posOffset>
                      </wp:positionV>
                      <wp:extent cx="731520" cy="0"/>
                      <wp:effectExtent l="0" t="0" r="11430" b="19050"/>
                      <wp:wrapNone/>
                      <wp:docPr id="4" name="Straight Connector 4"/>
                      <wp:cNvGraphicFramePr/>
                      <a:graphic xmlns:a="http://schemas.openxmlformats.org/drawingml/2006/main">
                        <a:graphicData uri="http://schemas.microsoft.com/office/word/2010/wordprocessingShape">
                          <wps:wsp>
                            <wps:cNvCnPr/>
                            <wps:spPr>
                              <a:xfrm>
                                <a:off x="0" y="0"/>
                                <a:ext cx="731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63E89C"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1.65pt,1.65pt" to="149.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" strokecolor="black [3200]" strokeweight=".5pt">
                      <v:stroke joinstyle="miter"/>
                    </v:line>
                  </w:pict>
                </mc:Fallback>
              </mc:AlternateContent>
            </w:r>
          </w:p>
        </w:tc>
        <w:tc>
          <w:tcPr>
            <w:tcW w:w="5529" w:type="dxa"/>
            <w:gridSpan w:val="3"/>
          </w:tcPr>
          <w:p w14:paraId="5ED63663" w14:textId="77777777" w:rsidR="00814CB1" w:rsidRPr="005158AA" w:rsidRDefault="00814CB1" w:rsidP="00B37086">
            <w:pPr>
              <w:jc w:val="center"/>
              <w:rPr>
                <w:b/>
                <w:bCs/>
                <w:spacing w:val="-4"/>
                <w:sz w:val="26"/>
                <w:szCs w:val="26"/>
              </w:rPr>
            </w:pPr>
            <w:r w:rsidRPr="005158AA">
              <w:rPr>
                <w:b/>
                <w:bCs/>
                <w:spacing w:val="-4"/>
                <w:sz w:val="26"/>
                <w:szCs w:val="26"/>
              </w:rPr>
              <w:t>CỘNG HÒA XÃ HỘI CHỦ NGHĨA VIỆT NAM</w:t>
            </w:r>
          </w:p>
          <w:p w14:paraId="5AF15CB7" w14:textId="77777777" w:rsidR="00814CB1" w:rsidRPr="005158AA" w:rsidRDefault="00814CB1" w:rsidP="00B37086">
            <w:pPr>
              <w:jc w:val="center"/>
              <w:rPr>
                <w:b/>
                <w:bCs/>
                <w:spacing w:val="-4"/>
              </w:rPr>
            </w:pPr>
            <w:r w:rsidRPr="005158AA">
              <w:rPr>
                <w:b/>
                <w:bCs/>
                <w:spacing w:val="-4"/>
              </w:rPr>
              <w:t>Độc lập - Tự do - Hạnh phúc</w:t>
            </w:r>
          </w:p>
          <w:p w14:paraId="787EAFC5" w14:textId="77777777" w:rsidR="00814CB1" w:rsidRPr="005158AA" w:rsidRDefault="00814CB1" w:rsidP="00B37086">
            <w:pPr>
              <w:jc w:val="center"/>
              <w:rPr>
                <w:spacing w:val="-4"/>
                <w:sz w:val="26"/>
                <w:szCs w:val="26"/>
              </w:rPr>
            </w:pPr>
            <w:r w:rsidRPr="005158AA">
              <w:rPr>
                <w:noProof/>
              </w:rPr>
              <mc:AlternateContent>
                <mc:Choice Requires="wps">
                  <w:drawing>
                    <wp:anchor distT="4294967290" distB="4294967290" distL="114300" distR="114300" simplePos="0" relativeHeight="251661312" behindDoc="0" locked="0" layoutInCell="1" allowOverlap="1" wp14:anchorId="20BCDA21" wp14:editId="2C4C280C">
                      <wp:simplePos x="0" y="0"/>
                      <wp:positionH relativeFrom="column">
                        <wp:posOffset>633095</wp:posOffset>
                      </wp:positionH>
                      <wp:positionV relativeFrom="paragraph">
                        <wp:posOffset>19685</wp:posOffset>
                      </wp:positionV>
                      <wp:extent cx="2109470" cy="0"/>
                      <wp:effectExtent l="0" t="0" r="2413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94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1E29A1" id="Straight Connector 2" o:spid="_x0000_s1026" style="position:absolute;z-index:25166131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49.85pt,1.55pt" to="215.9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URwHQIAADY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"/>
                  </w:pict>
                </mc:Fallback>
              </mc:AlternateContent>
            </w:r>
          </w:p>
        </w:tc>
      </w:tr>
      <w:tr w:rsidR="005C7AE7" w:rsidRPr="005158AA" w14:paraId="599B439B" w14:textId="77777777" w:rsidTr="00B37086">
        <w:trPr>
          <w:gridBefore w:val="1"/>
          <w:gridAfter w:val="1"/>
          <w:wBefore w:w="1028" w:type="dxa"/>
          <w:wAfter w:w="108" w:type="dxa"/>
          <w:trHeight w:val="468"/>
        </w:trPr>
        <w:tc>
          <w:tcPr>
            <w:tcW w:w="4849" w:type="dxa"/>
            <w:gridSpan w:val="2"/>
          </w:tcPr>
          <w:p w14:paraId="0D6A2050" w14:textId="67046607" w:rsidR="00926995" w:rsidRDefault="00814CB1" w:rsidP="00B37086">
            <w:pPr>
              <w:ind w:right="812"/>
              <w:jc w:val="center"/>
              <w:rPr>
                <w:spacing w:val="-4"/>
              </w:rPr>
            </w:pPr>
            <w:r w:rsidRPr="00AA1C88">
              <w:rPr>
                <w:spacing w:val="-4"/>
              </w:rPr>
              <w:t>Số:          /TTr-</w:t>
            </w:r>
            <w:r w:rsidR="005C7AE7">
              <w:rPr>
                <w:spacing w:val="-4"/>
              </w:rPr>
              <w:t>CQLTHADS</w:t>
            </w:r>
          </w:p>
          <w:p w14:paraId="359D0153" w14:textId="77777777" w:rsidR="000A7E8B" w:rsidRPr="00B52809" w:rsidRDefault="000A7E8B" w:rsidP="00B37086">
            <w:pPr>
              <w:ind w:right="812"/>
              <w:jc w:val="center"/>
              <w:rPr>
                <w:spacing w:val="-4"/>
                <w:sz w:val="14"/>
              </w:rPr>
            </w:pPr>
          </w:p>
          <w:tbl>
            <w:tblPr>
              <w:tblStyle w:val="TableGrid"/>
              <w:tblW w:w="0" w:type="auto"/>
              <w:tblInd w:w="703" w:type="dxa"/>
              <w:tblLook w:val="04A0" w:firstRow="1" w:lastRow="0" w:firstColumn="1" w:lastColumn="0" w:noHBand="0" w:noVBand="1"/>
            </w:tblPr>
            <w:tblGrid>
              <w:gridCol w:w="1417"/>
            </w:tblGrid>
            <w:tr w:rsidR="000A7E8B" w14:paraId="35C7B298" w14:textId="77777777" w:rsidTr="004025E1">
              <w:tc>
                <w:tcPr>
                  <w:tcW w:w="1417" w:type="dxa"/>
                </w:tcPr>
                <w:p w14:paraId="2AA2774E" w14:textId="491B4118" w:rsidR="000A7E8B" w:rsidRPr="004025E1" w:rsidRDefault="000A7E8B" w:rsidP="00B37086">
                  <w:pPr>
                    <w:spacing w:before="60" w:after="60"/>
                    <w:jc w:val="center"/>
                    <w:rPr>
                      <w:b/>
                      <w:spacing w:val="-4"/>
                      <w:sz w:val="24"/>
                      <w:szCs w:val="24"/>
                    </w:rPr>
                  </w:pPr>
                  <w:r w:rsidRPr="004025E1">
                    <w:rPr>
                      <w:b/>
                      <w:spacing w:val="-4"/>
                      <w:sz w:val="24"/>
                      <w:szCs w:val="24"/>
                    </w:rPr>
                    <w:t>DỰ THẢO</w:t>
                  </w:r>
                </w:p>
              </w:tc>
            </w:tr>
          </w:tbl>
          <w:p w14:paraId="617A60C8" w14:textId="77777777" w:rsidR="00926995" w:rsidRPr="00AA1C88" w:rsidRDefault="00926995" w:rsidP="00B37086">
            <w:pPr>
              <w:jc w:val="center"/>
              <w:rPr>
                <w:spacing w:val="-4"/>
              </w:rPr>
            </w:pPr>
          </w:p>
        </w:tc>
        <w:tc>
          <w:tcPr>
            <w:tcW w:w="4647" w:type="dxa"/>
          </w:tcPr>
          <w:p w14:paraId="2EDFC527" w14:textId="2ECB0099" w:rsidR="00814CB1" w:rsidRPr="005C7AE7" w:rsidRDefault="00814CB1" w:rsidP="00B37086">
            <w:pPr>
              <w:jc w:val="center"/>
              <w:rPr>
                <w:spacing w:val="-4"/>
                <w:lang w:val="vi-VN"/>
              </w:rPr>
            </w:pPr>
            <w:r w:rsidRPr="005158AA">
              <w:rPr>
                <w:i/>
                <w:iCs/>
                <w:spacing w:val="-4"/>
              </w:rPr>
              <w:t xml:space="preserve">Hà Nội, ngày      tháng </w:t>
            </w:r>
            <w:r w:rsidR="005C7AE7">
              <w:rPr>
                <w:i/>
                <w:iCs/>
                <w:spacing w:val="-4"/>
                <w:lang w:val="vi-VN"/>
              </w:rPr>
              <w:t>10</w:t>
            </w:r>
            <w:r w:rsidR="004F2B31">
              <w:rPr>
                <w:i/>
                <w:iCs/>
                <w:spacing w:val="-4"/>
              </w:rPr>
              <w:t xml:space="preserve"> </w:t>
            </w:r>
            <w:r w:rsidRPr="005158AA">
              <w:rPr>
                <w:i/>
                <w:iCs/>
                <w:spacing w:val="-4"/>
              </w:rPr>
              <w:t>năm 202</w:t>
            </w:r>
            <w:r w:rsidR="005C7AE7">
              <w:rPr>
                <w:i/>
                <w:iCs/>
                <w:spacing w:val="-4"/>
                <w:lang w:val="vi-VN"/>
              </w:rPr>
              <w:t>5</w:t>
            </w:r>
          </w:p>
        </w:tc>
      </w:tr>
    </w:tbl>
    <w:p w14:paraId="4BE5F292" w14:textId="77777777" w:rsidR="00814CB1" w:rsidRPr="002561C3" w:rsidRDefault="00814CB1" w:rsidP="00B37086">
      <w:pPr>
        <w:tabs>
          <w:tab w:val="left" w:pos="3555"/>
          <w:tab w:val="center" w:pos="4904"/>
        </w:tabs>
        <w:jc w:val="center"/>
        <w:rPr>
          <w:b/>
        </w:rPr>
      </w:pPr>
      <w:r w:rsidRPr="002561C3">
        <w:rPr>
          <w:b/>
        </w:rPr>
        <w:t>TỜ TRÌNH</w:t>
      </w:r>
    </w:p>
    <w:p w14:paraId="1B12DCFA" w14:textId="3CE2B032" w:rsidR="00E830D1" w:rsidRPr="002561C3" w:rsidRDefault="00A40EB8" w:rsidP="00B37086">
      <w:pPr>
        <w:jc w:val="center"/>
        <w:rPr>
          <w:b/>
        </w:rPr>
      </w:pPr>
      <w:r w:rsidRPr="002561C3">
        <w:rPr>
          <w:b/>
        </w:rPr>
        <w:t xml:space="preserve">Ban hành Thông tư </w:t>
      </w:r>
      <w:r w:rsidR="004F2B31" w:rsidRPr="002561C3">
        <w:rPr>
          <w:b/>
        </w:rPr>
        <w:t>Thông tư phân cấp quản lý tổ chức cán bộ</w:t>
      </w:r>
    </w:p>
    <w:p w14:paraId="531E34AD" w14:textId="5F8E33FF" w:rsidR="00814CB1" w:rsidRPr="002561C3" w:rsidRDefault="004F2B31" w:rsidP="00B37086">
      <w:pPr>
        <w:jc w:val="center"/>
      </w:pPr>
      <w:r w:rsidRPr="002561C3">
        <w:rPr>
          <w:b/>
        </w:rPr>
        <w:t>hệ thống Thi hành án dân sự</w:t>
      </w:r>
    </w:p>
    <w:p w14:paraId="747859B8" w14:textId="543E19D8" w:rsidR="00E830D1" w:rsidRPr="002561C3" w:rsidRDefault="00E830D1" w:rsidP="00B37086">
      <w:pPr>
        <w:jc w:val="center"/>
      </w:pPr>
      <w:r w:rsidRPr="002561C3">
        <w:rPr>
          <w:b/>
          <w:bCs/>
          <w:i/>
          <w:iCs/>
          <w:noProof/>
        </w:rPr>
        <mc:AlternateContent>
          <mc:Choice Requires="wps">
            <w:drawing>
              <wp:anchor distT="0" distB="0" distL="114300" distR="114300" simplePos="0" relativeHeight="251659264" behindDoc="0" locked="0" layoutInCell="1" allowOverlap="1" wp14:anchorId="56F6B9A0" wp14:editId="2ECADCDE">
                <wp:simplePos x="0" y="0"/>
                <wp:positionH relativeFrom="column">
                  <wp:posOffset>2155825</wp:posOffset>
                </wp:positionH>
                <wp:positionV relativeFrom="paragraph">
                  <wp:posOffset>53340</wp:posOffset>
                </wp:positionV>
                <wp:extent cx="1459230" cy="0"/>
                <wp:effectExtent l="0" t="0" r="2667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9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BAD779" id="_x0000_t32" coordsize="21600,21600" o:spt="32" o:oned="t" path="m,l21600,21600e" filled="f">
                <v:path arrowok="t" fillok="f" o:connecttype="none"/>
                <o:lock v:ext="edit" shapetype="t"/>
              </v:shapetype>
              <v:shape id="Straight Arrow Connector 1" o:spid="_x0000_s1026" type="#_x0000_t32" style="position:absolute;margin-left:169.75pt;margin-top:4.2pt;width:114.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"/>
            </w:pict>
          </mc:Fallback>
        </mc:AlternateContent>
      </w:r>
    </w:p>
    <w:p w14:paraId="2252A88B" w14:textId="77777777" w:rsidR="00E830D1" w:rsidRPr="002561C3" w:rsidRDefault="00E830D1" w:rsidP="00B37086">
      <w:pPr>
        <w:jc w:val="center"/>
      </w:pPr>
    </w:p>
    <w:p w14:paraId="48D7B1F4" w14:textId="6D6DA290" w:rsidR="00E27F30" w:rsidRPr="002561C3" w:rsidRDefault="00814CB1" w:rsidP="00AB39A4">
      <w:pPr>
        <w:ind w:firstLine="1701"/>
        <w:jc w:val="both"/>
      </w:pPr>
      <w:r w:rsidRPr="002561C3">
        <w:t>Kính gửi:</w:t>
      </w:r>
    </w:p>
    <w:p w14:paraId="15D2C711" w14:textId="77777777" w:rsidR="00E27F30" w:rsidRPr="002561C3" w:rsidRDefault="00E27F30" w:rsidP="00AB39A4">
      <w:pPr>
        <w:ind w:firstLine="2835"/>
        <w:jc w:val="both"/>
      </w:pPr>
      <w:r w:rsidRPr="002561C3">
        <w:t>- Bộ trưởng Nguyễn Hải Ninh;</w:t>
      </w:r>
    </w:p>
    <w:p w14:paraId="522BA074" w14:textId="77777777" w:rsidR="00E27F30" w:rsidRPr="002561C3" w:rsidRDefault="00E27F30" w:rsidP="00AB39A4">
      <w:pPr>
        <w:ind w:firstLine="2835"/>
        <w:jc w:val="both"/>
      </w:pPr>
      <w:r w:rsidRPr="002561C3">
        <w:t>- Thứ trưởng Mai Lương Khôi.</w:t>
      </w:r>
    </w:p>
    <w:p w14:paraId="0C6BD590" w14:textId="77777777" w:rsidR="00EA0300" w:rsidRPr="004025E1" w:rsidRDefault="00EA0300" w:rsidP="00B37086">
      <w:pPr>
        <w:ind w:firstLine="567"/>
        <w:rPr>
          <w:sz w:val="15"/>
          <w:szCs w:val="27"/>
        </w:rPr>
      </w:pPr>
    </w:p>
    <w:p w14:paraId="6EB774B4" w14:textId="4722A3B7" w:rsidR="00814CB1" w:rsidRPr="002561C3" w:rsidRDefault="00814CB1" w:rsidP="00AB39A4">
      <w:pPr>
        <w:spacing w:before="60" w:after="60"/>
        <w:ind w:firstLine="567"/>
        <w:jc w:val="both"/>
        <w:rPr>
          <w:bCs/>
        </w:rPr>
      </w:pPr>
      <w:r w:rsidRPr="002561C3">
        <w:rPr>
          <w:bCs/>
        </w:rPr>
        <w:t xml:space="preserve">Thực hiện Luật </w:t>
      </w:r>
      <w:r w:rsidR="00BC02D3" w:rsidRPr="002561C3">
        <w:rPr>
          <w:bCs/>
        </w:rPr>
        <w:t>Ban hành văn bản quy phạm pháp luật (</w:t>
      </w:r>
      <w:r w:rsidRPr="002561C3">
        <w:rPr>
          <w:bCs/>
        </w:rPr>
        <w:t>VBQPPL</w:t>
      </w:r>
      <w:r w:rsidR="00BC02D3" w:rsidRPr="002561C3">
        <w:rPr>
          <w:bCs/>
        </w:rPr>
        <w:t>)</w:t>
      </w:r>
      <w:r w:rsidRPr="002561C3">
        <w:rPr>
          <w:bCs/>
        </w:rPr>
        <w:t xml:space="preserve"> năm </w:t>
      </w:r>
      <w:r w:rsidR="00926995" w:rsidRPr="002561C3">
        <w:rPr>
          <w:bCs/>
        </w:rPr>
        <w:t>2025, Cục Quản lý</w:t>
      </w:r>
      <w:r w:rsidRPr="002561C3">
        <w:rPr>
          <w:bCs/>
        </w:rPr>
        <w:t xml:space="preserve"> </w:t>
      </w:r>
      <w:r w:rsidR="00FF3AE6" w:rsidRPr="002561C3">
        <w:rPr>
          <w:bCs/>
        </w:rPr>
        <w:t>Thi hành án dân sự (</w:t>
      </w:r>
      <w:r w:rsidR="00B66374" w:rsidRPr="002561C3">
        <w:rPr>
          <w:bCs/>
        </w:rPr>
        <w:t>THADS</w:t>
      </w:r>
      <w:r w:rsidR="00FF3AE6" w:rsidRPr="002561C3">
        <w:rPr>
          <w:bCs/>
        </w:rPr>
        <w:t>)</w:t>
      </w:r>
      <w:r w:rsidR="00C16C99" w:rsidRPr="002561C3">
        <w:rPr>
          <w:bCs/>
        </w:rPr>
        <w:t xml:space="preserve"> </w:t>
      </w:r>
      <w:r w:rsidR="000D210F" w:rsidRPr="002561C3">
        <w:rPr>
          <w:bCs/>
        </w:rPr>
        <w:t>kính trình</w:t>
      </w:r>
      <w:r w:rsidR="00B66374" w:rsidRPr="002561C3">
        <w:rPr>
          <w:bCs/>
        </w:rPr>
        <w:t xml:space="preserve"> </w:t>
      </w:r>
      <w:r w:rsidRPr="002561C3">
        <w:rPr>
          <w:bCs/>
        </w:rPr>
        <w:t>Bộ trưởng</w:t>
      </w:r>
      <w:r w:rsidR="00C16C99" w:rsidRPr="002561C3">
        <w:rPr>
          <w:bCs/>
        </w:rPr>
        <w:t>, Thứ trưởng</w:t>
      </w:r>
      <w:r w:rsidR="00B66374" w:rsidRPr="002561C3">
        <w:rPr>
          <w:bCs/>
        </w:rPr>
        <w:t xml:space="preserve"> dự thảo </w:t>
      </w:r>
      <w:r w:rsidR="00014FBD" w:rsidRPr="002561C3">
        <w:rPr>
          <w:bCs/>
        </w:rPr>
        <w:t xml:space="preserve">Thông tư phân cấp quản lý tổ chức cán bộ hệ thống </w:t>
      </w:r>
      <w:r w:rsidR="001E61FC">
        <w:rPr>
          <w:bCs/>
        </w:rPr>
        <w:t>THADS</w:t>
      </w:r>
      <w:r w:rsidR="00900498" w:rsidRPr="002561C3">
        <w:rPr>
          <w:b/>
        </w:rPr>
        <w:t xml:space="preserve"> </w:t>
      </w:r>
      <w:r w:rsidR="00E9113F" w:rsidRPr="002561C3">
        <w:rPr>
          <w:bCs/>
        </w:rPr>
        <w:t>(</w:t>
      </w:r>
      <w:r w:rsidR="00900498" w:rsidRPr="002561C3">
        <w:rPr>
          <w:bCs/>
        </w:rPr>
        <w:t>dự thảo Thông tư)</w:t>
      </w:r>
      <w:r w:rsidRPr="002561C3">
        <w:rPr>
          <w:bCs/>
        </w:rPr>
        <w:t xml:space="preserve">, </w:t>
      </w:r>
      <w:r w:rsidR="00142CCB" w:rsidRPr="002561C3">
        <w:rPr>
          <w:bCs/>
        </w:rPr>
        <w:t>với những nội dung chủ yếu</w:t>
      </w:r>
      <w:r w:rsidRPr="002561C3">
        <w:rPr>
          <w:bCs/>
        </w:rPr>
        <w:t xml:space="preserve"> như sau:</w:t>
      </w:r>
    </w:p>
    <w:p w14:paraId="0F05132E" w14:textId="77777777" w:rsidR="00814CB1" w:rsidRPr="002561C3" w:rsidRDefault="00814CB1" w:rsidP="00AB39A4">
      <w:pPr>
        <w:spacing w:before="60" w:after="60"/>
        <w:ind w:firstLine="567"/>
        <w:jc w:val="both"/>
        <w:rPr>
          <w:b/>
          <w:bCs/>
        </w:rPr>
      </w:pPr>
      <w:r w:rsidRPr="002561C3">
        <w:rPr>
          <w:b/>
          <w:bCs/>
        </w:rPr>
        <w:t>I. SỰ CẦN THIẾT</w:t>
      </w:r>
    </w:p>
    <w:p w14:paraId="50BD93DE" w14:textId="4362893E" w:rsidR="00814CB1" w:rsidRPr="002561C3" w:rsidRDefault="00814CB1" w:rsidP="00AB39A4">
      <w:pPr>
        <w:spacing w:before="60" w:after="60"/>
        <w:ind w:firstLine="567"/>
        <w:jc w:val="both"/>
        <w:rPr>
          <w:b/>
        </w:rPr>
      </w:pPr>
      <w:r w:rsidRPr="002561C3">
        <w:rPr>
          <w:b/>
        </w:rPr>
        <w:t xml:space="preserve">1. Cơ sở </w:t>
      </w:r>
      <w:r w:rsidR="000D210F" w:rsidRPr="002561C3">
        <w:rPr>
          <w:b/>
        </w:rPr>
        <w:t xml:space="preserve">chính trị, </w:t>
      </w:r>
      <w:r w:rsidRPr="002561C3">
        <w:rPr>
          <w:b/>
        </w:rPr>
        <w:t>pháp lý</w:t>
      </w:r>
    </w:p>
    <w:p w14:paraId="161BDA46" w14:textId="41F15DEE" w:rsidR="007B63FB" w:rsidRDefault="00574705" w:rsidP="00AB39A4">
      <w:pPr>
        <w:spacing w:before="60" w:after="60"/>
        <w:ind w:firstLine="567"/>
        <w:jc w:val="both"/>
        <w:rPr>
          <w:bCs/>
        </w:rPr>
      </w:pPr>
      <w:r>
        <w:rPr>
          <w:bCs/>
        </w:rPr>
        <w:t xml:space="preserve">- </w:t>
      </w:r>
      <w:r w:rsidRPr="00574705">
        <w:rPr>
          <w:bCs/>
        </w:rPr>
        <w:t>Quy định số 377-QĐ/TW ngày 08/10/2025 của Bộ Chính trị về phân cấp quản lý cán bộ và quy hoạch, bổ nhiệm, giới thiệu ứng cử, tạm đình chỉ công tác, cho thôi giữ chức vụ, từ chức, miễn nhiệm đối với cán bộ</w:t>
      </w:r>
      <w:r w:rsidR="0027659D">
        <w:rPr>
          <w:bCs/>
        </w:rPr>
        <w:t>, quy định: “</w:t>
      </w:r>
      <w:r w:rsidR="0027659D" w:rsidRPr="0027659D">
        <w:rPr>
          <w:bCs/>
          <w:i/>
        </w:rPr>
        <w:t>Các cấp ủy, tổ chức đảng, cơ quan, đơn vị căn cứ Quy định này để quy định cụ thể việc phân cấp, thẩm quyền, trách nhiệm, nội dung quản lý cán bộ.</w:t>
      </w:r>
    </w:p>
    <w:p w14:paraId="2BD4C02A" w14:textId="1A686E1A" w:rsidR="007B63FB" w:rsidRPr="007B63FB" w:rsidRDefault="007B63FB" w:rsidP="00AB39A4">
      <w:pPr>
        <w:spacing w:before="60" w:after="60"/>
        <w:ind w:firstLine="567"/>
        <w:jc w:val="both"/>
        <w:rPr>
          <w:bCs/>
        </w:rPr>
      </w:pPr>
      <w:r>
        <w:rPr>
          <w:bCs/>
        </w:rPr>
        <w:t>-</w:t>
      </w:r>
      <w:r w:rsidRPr="007B63FB">
        <w:rPr>
          <w:bCs/>
        </w:rPr>
        <w:t xml:space="preserve"> Luật Tổ chức Chính phủ </w:t>
      </w:r>
      <w:r w:rsidR="0027659D">
        <w:rPr>
          <w:bCs/>
        </w:rPr>
        <w:t xml:space="preserve">năm 2025 quy định: </w:t>
      </w:r>
      <w:r w:rsidR="0027659D" w:rsidRPr="0027659D">
        <w:rPr>
          <w:bCs/>
          <w:i/>
        </w:rPr>
        <w:t>“Việc phân cấp phải được quy định trong văn bản quy phạm pháp luật của cơ qua</w:t>
      </w:r>
      <w:r w:rsidR="0027659D">
        <w:rPr>
          <w:bCs/>
          <w:i/>
        </w:rPr>
        <w:t>n, người có thẩm quyền phân cấp”.</w:t>
      </w:r>
    </w:p>
    <w:p w14:paraId="0DBC4331" w14:textId="12C637D8" w:rsidR="002561C3" w:rsidRDefault="007B63FB" w:rsidP="00AB39A4">
      <w:pPr>
        <w:spacing w:before="60" w:after="60"/>
        <w:ind w:firstLine="567"/>
        <w:jc w:val="both"/>
        <w:rPr>
          <w:b/>
          <w:lang w:val="vi-VN"/>
        </w:rPr>
      </w:pPr>
      <w:r>
        <w:rPr>
          <w:bCs/>
        </w:rPr>
        <w:t>-</w:t>
      </w:r>
      <w:r w:rsidRPr="007B63FB">
        <w:rPr>
          <w:bCs/>
        </w:rPr>
        <w:t xml:space="preserve"> Luật Cán bộ, công chức </w:t>
      </w:r>
      <w:r w:rsidR="0027659D">
        <w:rPr>
          <w:bCs/>
        </w:rPr>
        <w:t>và các Nghị định hướng dẫn thi hành Luật xác định cơ quan quản lý công chức và cơ quan sử dụng công chức có thẩm quyền thực hiện các nội dung quản lý công chức theo phân cấp.</w:t>
      </w:r>
    </w:p>
    <w:p w14:paraId="0BFA9EB7" w14:textId="0A6A728A" w:rsidR="00814CB1" w:rsidRPr="002561C3" w:rsidRDefault="00814CB1" w:rsidP="00AB39A4">
      <w:pPr>
        <w:spacing w:before="60" w:after="60"/>
        <w:ind w:firstLine="567"/>
        <w:jc w:val="both"/>
        <w:rPr>
          <w:b/>
          <w:lang w:val="vi-VN"/>
        </w:rPr>
      </w:pPr>
      <w:r w:rsidRPr="002561C3">
        <w:rPr>
          <w:b/>
          <w:lang w:val="vi-VN"/>
        </w:rPr>
        <w:t>2. Cở sở thực tiễn</w:t>
      </w:r>
    </w:p>
    <w:p w14:paraId="01CEA817" w14:textId="51395583" w:rsidR="00C42348" w:rsidRPr="00C42348" w:rsidRDefault="00C42348" w:rsidP="00AB39A4">
      <w:pPr>
        <w:spacing w:before="60" w:after="60"/>
        <w:ind w:firstLine="567"/>
        <w:jc w:val="both"/>
        <w:rPr>
          <w:lang w:val="nl-NL"/>
        </w:rPr>
      </w:pPr>
      <w:r w:rsidRPr="00C42348">
        <w:rPr>
          <w:lang w:val="nl-NL"/>
        </w:rPr>
        <w:t xml:space="preserve">Thực hiện Đề án </w:t>
      </w:r>
      <w:r w:rsidRPr="0027659D">
        <w:rPr>
          <w:i/>
          <w:lang w:val="nl-NL"/>
        </w:rPr>
        <w:t>“Tiếp tục sắp xếp, tinh gọn bộ máy hệ thống tổ chức Thi hành án dân sự bảo đảm hoạt động hiệu lực, hiệu quả”</w:t>
      </w:r>
      <w:r w:rsidRPr="00C42348">
        <w:rPr>
          <w:lang w:val="nl-NL"/>
        </w:rPr>
        <w:t xml:space="preserve"> của Đảng ủy Bộ Tư pháp đã được Bộ Chính trị, Ban Bí thư, Ban Thường vụ Đảng ủy Chính phủ thông qua, ngày 25/6/2025, Bộ trưởng Bộ Tư</w:t>
      </w:r>
      <w:r w:rsidR="0027659D">
        <w:rPr>
          <w:lang w:val="nl-NL"/>
        </w:rPr>
        <w:t xml:space="preserve"> pháp đã ký Quyết định số 1898/</w:t>
      </w:r>
      <w:r w:rsidRPr="00C42348">
        <w:rPr>
          <w:lang w:val="nl-NL"/>
        </w:rPr>
        <w:t xml:space="preserve">QĐ-BTP quy định chức năng, nhiệm vụ, quyền hạn và cơ cấu tổ chức của Cục Quản lý THADS. Theo đó, từ ngày 01/7/2025, Cục Quản lý THADS được tổ chức lại từ Tổng cục THADS, tiếp nhận và tiếp tục thực hiện chức năng, nhiệm vụ, quyền hạn, trách nhiệm của Tổng cục THADS; THADS tỉnh, thành phố (sau đây gọi là cấp tỉnh) được tổ chức lại từ các Cục THADS cấp tỉnh, tiếp nhận và tiếp tục thực hiện chức năng, nhiệm vụ, quyền hạn, trách nhiệm của các cơ quan THADS trên địa bàn tỉnh, thành phố trước khi sắp xếp đang được quy định tại các văn bản quy phạm </w:t>
      </w:r>
      <w:r w:rsidRPr="00C42348">
        <w:rPr>
          <w:lang w:val="nl-NL"/>
        </w:rPr>
        <w:lastRenderedPageBreak/>
        <w:t xml:space="preserve">pháp luật và các văn bản khác do Bộ trưởng Bộ Tư pháp ban hành đến khi có văn bản thay thế theo quy định. </w:t>
      </w:r>
    </w:p>
    <w:p w14:paraId="0A66C6D0" w14:textId="463A2A36" w:rsidR="007B63FB" w:rsidRDefault="00C42348" w:rsidP="00AB39A4">
      <w:pPr>
        <w:spacing w:before="60" w:after="60"/>
        <w:ind w:firstLine="567"/>
        <w:jc w:val="both"/>
        <w:rPr>
          <w:lang w:val="nl-NL"/>
        </w:rPr>
      </w:pPr>
      <w:r w:rsidRPr="00C42348">
        <w:rPr>
          <w:lang w:val="nl-NL"/>
        </w:rPr>
        <w:t xml:space="preserve">Sau sắp xếp tổ chức bộ máy, các </w:t>
      </w:r>
      <w:r>
        <w:rPr>
          <w:lang w:val="nl-NL"/>
        </w:rPr>
        <w:t>chủ thể</w:t>
      </w:r>
      <w:r w:rsidRPr="00C42348">
        <w:rPr>
          <w:lang w:val="nl-NL"/>
        </w:rPr>
        <w:t xml:space="preserve"> được phân cấp</w:t>
      </w:r>
      <w:r w:rsidR="00ED6861">
        <w:rPr>
          <w:lang w:val="nl-NL"/>
        </w:rPr>
        <w:t>, đối tượng phân cấp</w:t>
      </w:r>
      <w:r w:rsidRPr="00C42348">
        <w:rPr>
          <w:lang w:val="nl-NL"/>
        </w:rPr>
        <w:t xml:space="preserve"> tại Thông tư số 09/2015/TT-BTP ngày 26/6/2015 của Bộ trưởng Bộ Tư pháp quy định việc phân cấp quản lý công chức, viên chức, người lao động thuộc Tổng cục THADS và các cơ quan THADS không còn. </w:t>
      </w:r>
    </w:p>
    <w:p w14:paraId="270A906E" w14:textId="5DE70041" w:rsidR="00C42348" w:rsidRPr="00D1625C" w:rsidRDefault="00C42348" w:rsidP="00AB39A4">
      <w:pPr>
        <w:spacing w:before="60" w:after="60"/>
        <w:ind w:firstLine="567"/>
        <w:jc w:val="both"/>
        <w:rPr>
          <w:lang w:val="nl-NL"/>
        </w:rPr>
      </w:pPr>
      <w:r w:rsidRPr="00D1625C">
        <w:rPr>
          <w:lang w:val="nl-NL"/>
        </w:rPr>
        <w:t xml:space="preserve">Đồng thời, từ ngày 01/7/2025, Luật Cán bộ, công chức và các Nghị định của Chính phủ quy định về tuyển dụng, sử dụng và quản lý công chức; về đào tạo, bồi dưỡng công chức; về xử lý kỷ luật công chức; về hợp đồng thực hiện nhiệm vụ của công chức… có hiệu lực thi hành. Theo đó, một số nội dung về thẩm quyền </w:t>
      </w:r>
      <w:r w:rsidRPr="00D1625C">
        <w:rPr>
          <w:spacing w:val="2"/>
          <w:lang w:val="nl-NL"/>
        </w:rPr>
        <w:t>quản lý, sử dụng công chức có thay đổi so với quy định cũ</w:t>
      </w:r>
      <w:r w:rsidR="00AB39A4" w:rsidRPr="00D1625C">
        <w:rPr>
          <w:spacing w:val="2"/>
          <w:lang w:val="nl-NL"/>
        </w:rPr>
        <w:t xml:space="preserve"> </w:t>
      </w:r>
      <w:r w:rsidR="00AB39A4" w:rsidRPr="00D1625C">
        <w:rPr>
          <w:i/>
          <w:spacing w:val="2"/>
          <w:lang w:val="nl-NL"/>
        </w:rPr>
        <w:t>(Chi tiết tại Phụ lục số 1 kèm theo</w:t>
      </w:r>
      <w:r w:rsidR="00AB39A4" w:rsidRPr="00D1625C">
        <w:rPr>
          <w:i/>
          <w:lang w:val="nl-NL"/>
        </w:rPr>
        <w:t>)</w:t>
      </w:r>
      <w:r w:rsidR="00AB39A4" w:rsidRPr="00D1625C">
        <w:t xml:space="preserve">. </w:t>
      </w:r>
    </w:p>
    <w:p w14:paraId="504F048E" w14:textId="05F01FAA" w:rsidR="00FB515F" w:rsidRPr="002561C3" w:rsidRDefault="002978F6" w:rsidP="00AB39A4">
      <w:pPr>
        <w:spacing w:before="60" w:after="60"/>
        <w:ind w:firstLine="567"/>
        <w:jc w:val="both"/>
        <w:rPr>
          <w:spacing w:val="-4"/>
          <w:lang w:val="nl-NL"/>
        </w:rPr>
      </w:pPr>
      <w:r>
        <w:rPr>
          <w:lang w:val="nl-NL"/>
        </w:rPr>
        <w:t xml:space="preserve">Trong bối cảnh đẩy mạnh sắp xếp, tổ chức lại bộ máy và cần triển khai kịp thời các quy định mới của pháp luật về quản lý công chức, bảo đảm tính liên tục và ổn định trong thực hiện công tác cán bộ. Căn cứ quy định tại điểm d khoản 1 Điều 50 Luật Ban hành văn bản quy phạm pháp luật, việc ban hành </w:t>
      </w:r>
      <w:r w:rsidR="008069A8" w:rsidRPr="002561C3">
        <w:rPr>
          <w:bCs/>
        </w:rPr>
        <w:t xml:space="preserve">Thông tư phân cấp quản lý tổ chức cán bộ hệ thống </w:t>
      </w:r>
      <w:r w:rsidR="008069A8">
        <w:rPr>
          <w:bCs/>
        </w:rPr>
        <w:t>THADS</w:t>
      </w:r>
      <w:r w:rsidR="008069A8">
        <w:rPr>
          <w:lang w:val="nl-NL"/>
        </w:rPr>
        <w:t xml:space="preserve"> theo trình tự rút gọn là cần thiết, kịp thời đáp ứng đòi hỏi cấp bách của thực tiễn, tạo cơ sở pháp lý rõ ràng để phân định thẩm quyền, trách nhiệm của các đơn vị, tránh lúng túng, gián đoạn trong triển khai công việc.</w:t>
      </w:r>
    </w:p>
    <w:p w14:paraId="361C6045" w14:textId="5C090CDE" w:rsidR="00142CCB" w:rsidRPr="002561C3" w:rsidRDefault="00142CCB" w:rsidP="00AB39A4">
      <w:pPr>
        <w:spacing w:before="60" w:after="60"/>
        <w:ind w:firstLine="567"/>
        <w:rPr>
          <w:b/>
          <w:lang w:val="nl-NL"/>
        </w:rPr>
      </w:pPr>
      <w:r w:rsidRPr="002561C3">
        <w:rPr>
          <w:b/>
          <w:lang w:val="nl-NL"/>
        </w:rPr>
        <w:t>II. MỤC ĐÍCH</w:t>
      </w:r>
      <w:r w:rsidR="000D210F" w:rsidRPr="002561C3">
        <w:rPr>
          <w:b/>
          <w:lang w:val="nl-NL"/>
        </w:rPr>
        <w:t xml:space="preserve"> BAN HÀNH</w:t>
      </w:r>
      <w:r w:rsidRPr="002561C3">
        <w:rPr>
          <w:b/>
          <w:lang w:val="nl-NL"/>
        </w:rPr>
        <w:t>, QUAN ĐIỂM</w:t>
      </w:r>
      <w:r w:rsidR="000D210F" w:rsidRPr="002561C3">
        <w:rPr>
          <w:b/>
          <w:lang w:val="nl-NL"/>
        </w:rPr>
        <w:t xml:space="preserve"> XÂY DỰNG THÔNG TƯ</w:t>
      </w:r>
    </w:p>
    <w:p w14:paraId="79A60F54" w14:textId="4CF721DD" w:rsidR="00142CCB" w:rsidRPr="002561C3" w:rsidRDefault="00142CCB" w:rsidP="00AB39A4">
      <w:pPr>
        <w:spacing w:before="60" w:after="60"/>
        <w:ind w:firstLine="567"/>
        <w:rPr>
          <w:b/>
          <w:lang w:val="nl-NL"/>
        </w:rPr>
      </w:pPr>
      <w:r w:rsidRPr="002561C3">
        <w:rPr>
          <w:b/>
          <w:lang w:val="nl-NL"/>
        </w:rPr>
        <w:t>1. Mục đích</w:t>
      </w:r>
      <w:r w:rsidR="000D210F" w:rsidRPr="002561C3">
        <w:rPr>
          <w:b/>
          <w:lang w:val="nl-NL"/>
        </w:rPr>
        <w:t xml:space="preserve"> ban hành </w:t>
      </w:r>
    </w:p>
    <w:p w14:paraId="77DA241F" w14:textId="734AC956" w:rsidR="00C42348" w:rsidRDefault="0080326A" w:rsidP="00AB39A4">
      <w:pPr>
        <w:spacing w:before="60" w:after="60"/>
        <w:ind w:firstLine="567"/>
        <w:jc w:val="both"/>
        <w:rPr>
          <w:lang w:val="nl-NL"/>
        </w:rPr>
      </w:pPr>
      <w:r>
        <w:rPr>
          <w:lang w:val="nl-NL"/>
        </w:rPr>
        <w:t>Việc ban hành Thông tư</w:t>
      </w:r>
      <w:r w:rsidR="00C42348" w:rsidRPr="00C42348">
        <w:rPr>
          <w:lang w:val="nl-NL"/>
        </w:rPr>
        <w:t xml:space="preserve"> để bảo đảm </w:t>
      </w:r>
      <w:r w:rsidR="00D377C7">
        <w:rPr>
          <w:lang w:val="nl-NL"/>
        </w:rPr>
        <w:t xml:space="preserve">cơ sở pháp lý cho </w:t>
      </w:r>
      <w:r w:rsidR="00C42348" w:rsidRPr="00C42348">
        <w:rPr>
          <w:lang w:val="nl-NL"/>
        </w:rPr>
        <w:t>việc phân cấp quản lý công chức, người lao động hệ thống THADS sau khi sắp xếp tổ chức bộ máy; đồng thời, phù hợp với quy định mới tại Luật Cán bộ, công chức và các văn bản hướng dẫn</w:t>
      </w:r>
      <w:r w:rsidR="00C42348">
        <w:rPr>
          <w:lang w:val="nl-NL"/>
        </w:rPr>
        <w:t>.</w:t>
      </w:r>
    </w:p>
    <w:p w14:paraId="0D046B68" w14:textId="55E61C57" w:rsidR="00563044" w:rsidRPr="002561C3" w:rsidRDefault="00563044" w:rsidP="00AB39A4">
      <w:pPr>
        <w:spacing w:before="60" w:after="60"/>
        <w:ind w:firstLine="567"/>
        <w:jc w:val="both"/>
        <w:rPr>
          <w:b/>
          <w:lang w:val="nl-NL"/>
        </w:rPr>
      </w:pPr>
      <w:r w:rsidRPr="002561C3">
        <w:rPr>
          <w:b/>
          <w:lang w:val="nl-NL"/>
        </w:rPr>
        <w:t>2. Quan điểm</w:t>
      </w:r>
      <w:r w:rsidR="000D210F" w:rsidRPr="002561C3">
        <w:rPr>
          <w:b/>
          <w:lang w:val="nl-NL"/>
        </w:rPr>
        <w:t xml:space="preserve"> xây dựng</w:t>
      </w:r>
    </w:p>
    <w:p w14:paraId="7D991BD1" w14:textId="0B6B7E6A" w:rsidR="00685CBE" w:rsidRDefault="00685CBE" w:rsidP="00AB39A4">
      <w:pPr>
        <w:spacing w:before="60" w:after="60"/>
        <w:ind w:firstLine="567"/>
        <w:jc w:val="both"/>
        <w:rPr>
          <w:lang w:val="nl-NL"/>
        </w:rPr>
      </w:pPr>
      <w:r w:rsidRPr="002561C3">
        <w:rPr>
          <w:lang w:val="nl-NL"/>
        </w:rPr>
        <w:t xml:space="preserve">- Bảo đảm thực hiện </w:t>
      </w:r>
      <w:r w:rsidR="007F3411" w:rsidRPr="002561C3">
        <w:rPr>
          <w:lang w:val="nl-NL"/>
        </w:rPr>
        <w:t>đúng</w:t>
      </w:r>
      <w:r w:rsidR="007F3411" w:rsidRPr="002561C3">
        <w:rPr>
          <w:lang w:val="vi-VN"/>
        </w:rPr>
        <w:t>, thống nhất</w:t>
      </w:r>
      <w:r w:rsidRPr="002561C3">
        <w:rPr>
          <w:lang w:val="nl-NL"/>
        </w:rPr>
        <w:t xml:space="preserve"> các quy định của Đảng, pháp luật của Nhà nước về công tác tổ chức cán bộ;</w:t>
      </w:r>
    </w:p>
    <w:p w14:paraId="35DD70D1" w14:textId="71071CC9" w:rsidR="00C70461" w:rsidRDefault="00C70461" w:rsidP="00AB39A4">
      <w:pPr>
        <w:spacing w:before="60" w:after="60"/>
        <w:ind w:firstLine="567"/>
        <w:jc w:val="both"/>
        <w:rPr>
          <w:lang w:val="nl-NL"/>
        </w:rPr>
      </w:pPr>
      <w:r>
        <w:rPr>
          <w:lang w:val="nl-NL"/>
        </w:rPr>
        <w:t>- Phân cấp triệt để, phân định rõ ràng thẩm quyền của Cục trưởng Cục Quản lý THADS, Trưởng THADS cấp tỉnh, Trưởng ban và tương đương thuộc Cục Quản lý THADS, Trưởng phòng và tương đương thuộc THADS cấp tỉnh; phát huy tính chủ động, sáng tạo, tự chịu trách nhiệm của Thủ trưởng các đơn vị trong thực hiện nhiệm vụ quản lý tổ chức, cán bộ.</w:t>
      </w:r>
    </w:p>
    <w:p w14:paraId="38E83E7C" w14:textId="4B9C2934" w:rsidR="00C70461" w:rsidRPr="00C70461" w:rsidRDefault="00C70461" w:rsidP="00AB39A4">
      <w:pPr>
        <w:spacing w:before="60" w:after="60"/>
        <w:ind w:firstLine="567"/>
        <w:jc w:val="both"/>
        <w:rPr>
          <w:spacing w:val="2"/>
          <w:lang w:val="nl-NL"/>
        </w:rPr>
      </w:pPr>
      <w:r w:rsidRPr="00C70461">
        <w:rPr>
          <w:spacing w:val="2"/>
          <w:lang w:val="nl-NL"/>
        </w:rPr>
        <w:t>- Bảo đảm đồng bộ, tổng thể, liên thông, không bỏ sót hoặc chồng lấn, giao thoa nhiệm vụ; không làm ảnh hưởng đến hoạt động bình thường của các đơn vị; bảo đảm công tác cán bộ được thực hiện công khai, minh bạch, dân chủ, khách quan.</w:t>
      </w:r>
    </w:p>
    <w:p w14:paraId="75CD131D" w14:textId="5E657B5D" w:rsidR="00142CCB" w:rsidRPr="002561C3" w:rsidRDefault="00685CBE" w:rsidP="00AB39A4">
      <w:pPr>
        <w:spacing w:before="60" w:after="60"/>
        <w:ind w:firstLine="567"/>
        <w:jc w:val="both"/>
        <w:rPr>
          <w:lang w:val="nl-NL"/>
        </w:rPr>
      </w:pPr>
      <w:r w:rsidRPr="002561C3">
        <w:rPr>
          <w:lang w:val="nl-NL"/>
        </w:rPr>
        <w:t xml:space="preserve">- Bảo đảm tính kịp thời; đúng thẩm quyền, hình thức, quy trình, thủ tục soạn thảo </w:t>
      </w:r>
      <w:r w:rsidR="00B52809" w:rsidRPr="002561C3">
        <w:rPr>
          <w:lang w:val="nl-NL"/>
        </w:rPr>
        <w:t>văn bản quy phạm pháp luật</w:t>
      </w:r>
      <w:r w:rsidR="00FB51E6" w:rsidRPr="002561C3">
        <w:rPr>
          <w:lang w:val="nl-NL"/>
        </w:rPr>
        <w:t xml:space="preserve"> theo quy định của Luật B</w:t>
      </w:r>
      <w:r w:rsidRPr="002561C3">
        <w:rPr>
          <w:lang w:val="nl-NL"/>
        </w:rPr>
        <w:t xml:space="preserve">an hành </w:t>
      </w:r>
      <w:r w:rsidR="00D33C9C">
        <w:rPr>
          <w:lang w:val="nl-NL"/>
        </w:rPr>
        <w:t>VBQPPL</w:t>
      </w:r>
      <w:r w:rsidRPr="002561C3">
        <w:rPr>
          <w:lang w:val="nl-NL"/>
        </w:rPr>
        <w:t>.</w:t>
      </w:r>
    </w:p>
    <w:p w14:paraId="576338D8" w14:textId="076B79FB" w:rsidR="00AD43B4" w:rsidRDefault="00AD43B4" w:rsidP="00AB39A4">
      <w:pPr>
        <w:spacing w:before="60" w:after="60"/>
        <w:ind w:firstLine="567"/>
        <w:rPr>
          <w:b/>
          <w:spacing w:val="-4"/>
          <w:lang w:val="nl-NL"/>
        </w:rPr>
      </w:pPr>
      <w:r w:rsidRPr="002561C3">
        <w:rPr>
          <w:b/>
          <w:spacing w:val="-4"/>
          <w:lang w:val="nl-NL"/>
        </w:rPr>
        <w:t>I</w:t>
      </w:r>
      <w:r w:rsidR="009817A6" w:rsidRPr="002561C3">
        <w:rPr>
          <w:b/>
          <w:spacing w:val="-4"/>
          <w:lang w:val="nl-NL"/>
        </w:rPr>
        <w:t>I</w:t>
      </w:r>
      <w:r w:rsidRPr="002561C3">
        <w:rPr>
          <w:b/>
          <w:spacing w:val="-4"/>
          <w:lang w:val="nl-NL"/>
        </w:rPr>
        <w:t xml:space="preserve">I. QUÁ TRÌNH </w:t>
      </w:r>
      <w:r w:rsidR="000D210F" w:rsidRPr="002561C3">
        <w:rPr>
          <w:b/>
          <w:spacing w:val="-4"/>
          <w:lang w:val="nl-NL"/>
        </w:rPr>
        <w:t>XÂY DỰNG DỰ THẢO THÔNG TƯ</w:t>
      </w:r>
    </w:p>
    <w:p w14:paraId="41333660" w14:textId="040BDCC4" w:rsidR="00D33C9C" w:rsidRPr="00DC4824" w:rsidRDefault="00D33C9C" w:rsidP="00AB39A4">
      <w:pPr>
        <w:spacing w:before="60" w:after="60"/>
        <w:ind w:firstLine="567"/>
        <w:jc w:val="both"/>
        <w:rPr>
          <w:spacing w:val="2"/>
          <w:lang w:val="nl-NL"/>
        </w:rPr>
      </w:pPr>
      <w:r w:rsidRPr="00DC4824">
        <w:rPr>
          <w:spacing w:val="2"/>
          <w:lang w:val="nl-NL"/>
        </w:rPr>
        <w:lastRenderedPageBreak/>
        <w:t>Thực hiện quy định của Luật Ban hành VBQPPL năm 2025</w:t>
      </w:r>
      <w:r w:rsidR="00DC4824" w:rsidRPr="00DC4824">
        <w:rPr>
          <w:spacing w:val="2"/>
          <w:lang w:val="nl-NL"/>
        </w:rPr>
        <w:t>, Cục Quản lý THADS đã chủ trì, phối hợp với các đơn vị liên quan thực hiện các công việc sau đây:</w:t>
      </w:r>
    </w:p>
    <w:p w14:paraId="77E6FD7B" w14:textId="5D88A67D" w:rsidR="008563AC" w:rsidRPr="00604D8D" w:rsidRDefault="00DE365C" w:rsidP="00AB39A4">
      <w:pPr>
        <w:spacing w:before="60" w:after="60"/>
        <w:ind w:firstLine="567"/>
        <w:jc w:val="both"/>
        <w:rPr>
          <w:lang w:val="nl-NL"/>
        </w:rPr>
      </w:pPr>
      <w:r w:rsidRPr="00604D8D">
        <w:rPr>
          <w:lang w:val="nl-NL"/>
        </w:rPr>
        <w:t>1.</w:t>
      </w:r>
      <w:r w:rsidR="00685CBE" w:rsidRPr="00604D8D">
        <w:rPr>
          <w:lang w:val="nl-NL"/>
        </w:rPr>
        <w:t xml:space="preserve"> </w:t>
      </w:r>
      <w:r w:rsidR="008563AC" w:rsidRPr="00604D8D">
        <w:rPr>
          <w:lang w:val="nl-NL"/>
        </w:rPr>
        <w:t>N</w:t>
      </w:r>
      <w:r w:rsidR="006A6397" w:rsidRPr="00604D8D">
        <w:rPr>
          <w:lang w:val="nl-NL"/>
        </w:rPr>
        <w:t xml:space="preserve">gày </w:t>
      </w:r>
      <w:r w:rsidR="002561C3" w:rsidRPr="00604D8D">
        <w:rPr>
          <w:lang w:val="nl-NL"/>
        </w:rPr>
        <w:t>22</w:t>
      </w:r>
      <w:r w:rsidR="006A6397" w:rsidRPr="00604D8D">
        <w:rPr>
          <w:lang w:val="nl-NL"/>
        </w:rPr>
        <w:t>/</w:t>
      </w:r>
      <w:r w:rsidR="00F44A7D" w:rsidRPr="00604D8D">
        <w:rPr>
          <w:lang w:val="nl-NL"/>
        </w:rPr>
        <w:t>10</w:t>
      </w:r>
      <w:r w:rsidR="006A6397" w:rsidRPr="00604D8D">
        <w:rPr>
          <w:lang w:val="nl-NL"/>
        </w:rPr>
        <w:t>/202</w:t>
      </w:r>
      <w:r w:rsidR="00F44A7D" w:rsidRPr="00604D8D">
        <w:rPr>
          <w:lang w:val="nl-NL"/>
        </w:rPr>
        <w:t>5</w:t>
      </w:r>
      <w:r w:rsidR="006A6397" w:rsidRPr="00604D8D">
        <w:rPr>
          <w:lang w:val="nl-NL"/>
        </w:rPr>
        <w:t>, báo cáo</w:t>
      </w:r>
      <w:r w:rsidR="00B870E8" w:rsidRPr="00604D8D">
        <w:rPr>
          <w:lang w:val="nl-NL"/>
        </w:rPr>
        <w:t xml:space="preserve"> </w:t>
      </w:r>
      <w:r w:rsidR="002561C3" w:rsidRPr="00604D8D">
        <w:rPr>
          <w:lang w:val="nl-NL"/>
        </w:rPr>
        <w:t>và được</w:t>
      </w:r>
      <w:r w:rsidR="00B870E8" w:rsidRPr="00604D8D">
        <w:rPr>
          <w:lang w:val="nl-NL"/>
        </w:rPr>
        <w:t xml:space="preserve"> </w:t>
      </w:r>
      <w:r w:rsidR="00F44A7D" w:rsidRPr="00604D8D">
        <w:rPr>
          <w:lang w:val="nl-NL"/>
        </w:rPr>
        <w:t>Ban Thường vụ Đảng ủy Bộ Tư pháp</w:t>
      </w:r>
      <w:r w:rsidR="00C24B21" w:rsidRPr="00604D8D">
        <w:rPr>
          <w:lang w:val="nl-NL"/>
        </w:rPr>
        <w:t>, Bộ trưởng</w:t>
      </w:r>
      <w:r w:rsidR="00B870E8" w:rsidRPr="00604D8D">
        <w:rPr>
          <w:lang w:val="nl-NL"/>
        </w:rPr>
        <w:t xml:space="preserve"> Bộ Tư pháp</w:t>
      </w:r>
      <w:r w:rsidR="006A6397" w:rsidRPr="00604D8D">
        <w:rPr>
          <w:lang w:val="nl-NL"/>
        </w:rPr>
        <w:t xml:space="preserve"> </w:t>
      </w:r>
      <w:r w:rsidR="002561C3" w:rsidRPr="00604D8D">
        <w:rPr>
          <w:lang w:val="nl-NL"/>
        </w:rPr>
        <w:t>nhất trí ban hành Thông tư phân cấp quản lý tổ chức cán bộ hệ thống Thi hành án dân sự theo trình tự, thủ tục rút gọn</w:t>
      </w:r>
      <w:r w:rsidR="006A6397" w:rsidRPr="00604D8D">
        <w:rPr>
          <w:lang w:val="nl-NL"/>
        </w:rPr>
        <w:t>.</w:t>
      </w:r>
    </w:p>
    <w:p w14:paraId="40FCF0F9" w14:textId="59538B60" w:rsidR="00DE365C" w:rsidRPr="00604D8D" w:rsidRDefault="00DE365C" w:rsidP="00AB39A4">
      <w:pPr>
        <w:spacing w:before="60" w:after="60"/>
        <w:ind w:firstLine="567"/>
        <w:jc w:val="both"/>
        <w:rPr>
          <w:spacing w:val="-4"/>
          <w:lang w:val="nl-NL"/>
        </w:rPr>
      </w:pPr>
      <w:r w:rsidRPr="00604D8D">
        <w:rPr>
          <w:spacing w:val="-4"/>
          <w:lang w:val="nl-NL"/>
        </w:rPr>
        <w:t>Nghiên cứu các nội dung, rà soát các VBQPP có liên quan, xây dựng dự thảo Thông tư.</w:t>
      </w:r>
    </w:p>
    <w:p w14:paraId="5687F332" w14:textId="12980E60" w:rsidR="00B5107E" w:rsidRPr="00604D8D" w:rsidRDefault="00F44A7D" w:rsidP="00AB39A4">
      <w:pPr>
        <w:spacing w:before="60" w:after="60"/>
        <w:ind w:firstLine="567"/>
        <w:jc w:val="both"/>
        <w:rPr>
          <w:lang w:val="nl-NL"/>
        </w:rPr>
      </w:pPr>
      <w:r w:rsidRPr="00604D8D">
        <w:rPr>
          <w:bCs/>
          <w:lang w:val="nl-NL"/>
        </w:rPr>
        <w:t>2</w:t>
      </w:r>
      <w:r w:rsidR="009817A6" w:rsidRPr="00604D8D">
        <w:rPr>
          <w:bCs/>
          <w:lang w:val="nl-NL"/>
        </w:rPr>
        <w:t>.</w:t>
      </w:r>
      <w:r w:rsidR="00BA0DEB" w:rsidRPr="00604D8D">
        <w:rPr>
          <w:lang w:val="nl-NL"/>
        </w:rPr>
        <w:t xml:space="preserve"> </w:t>
      </w:r>
      <w:r w:rsidR="00DE365C" w:rsidRPr="00604D8D">
        <w:rPr>
          <w:lang w:val="nl-NL"/>
        </w:rPr>
        <w:t>Lấy ý kiến các đơn vị thuộc Bộ có liên quan, ý kiến các đơn vị thuộc Cục Quản lý THADS, THADS các tỉnh, thành phố đối với dự thảo Thông tư (Công văn số .../CQLTHADS-TCCB ngày .../10/2025).</w:t>
      </w:r>
    </w:p>
    <w:p w14:paraId="78638EF3" w14:textId="366F00A0" w:rsidR="009817A6" w:rsidRPr="00604D8D" w:rsidRDefault="00644D1B" w:rsidP="00AB39A4">
      <w:pPr>
        <w:spacing w:before="60" w:after="60"/>
        <w:ind w:firstLine="567"/>
        <w:jc w:val="both"/>
      </w:pPr>
      <w:r w:rsidRPr="00604D8D">
        <w:rPr>
          <w:bCs/>
          <w:lang w:val="vi-VN"/>
        </w:rPr>
        <w:t xml:space="preserve">3. </w:t>
      </w:r>
      <w:r w:rsidR="00604D8D" w:rsidRPr="00604D8D">
        <w:t>Phối hợp với Vụ Công tác xây dựng VBQPPL tổ chức thẩm định Thông tư vào ngày …/…/2025.</w:t>
      </w:r>
    </w:p>
    <w:p w14:paraId="5B77DB4E" w14:textId="3B2C5BD3" w:rsidR="00604D8D" w:rsidRDefault="00604D8D" w:rsidP="00AB39A4">
      <w:pPr>
        <w:spacing w:before="60" w:after="60"/>
        <w:ind w:firstLine="567"/>
        <w:jc w:val="both"/>
      </w:pPr>
      <w:r w:rsidRPr="00604D8D">
        <w:t>4.</w:t>
      </w:r>
      <w:r>
        <w:t xml:space="preserve"> Tiếp thu, giải trình ý kiến thẩm định tại Báo cáo thẩm định số …/BCTĐ-BTP ngày …/…/2025.</w:t>
      </w:r>
    </w:p>
    <w:p w14:paraId="2FCB91C2" w14:textId="014E9245" w:rsidR="00604D8D" w:rsidRPr="00604D8D" w:rsidRDefault="00604D8D" w:rsidP="00AB39A4">
      <w:pPr>
        <w:spacing w:before="60" w:after="60"/>
        <w:ind w:firstLine="567"/>
        <w:jc w:val="both"/>
      </w:pPr>
      <w:r>
        <w:t>5. Hoàn thiện dự thảo Thông tư và các tài liệu kèm theo, báo cáo Ban Thường vụ Đảng ủy và trình lãnh đạo Bộ ký ban hành Thông tư</w:t>
      </w:r>
      <w:r w:rsidR="00142F05">
        <w:t>.</w:t>
      </w:r>
    </w:p>
    <w:p w14:paraId="1E700667" w14:textId="77777777" w:rsidR="009817A6" w:rsidRPr="002561C3" w:rsidRDefault="00072921" w:rsidP="00AB39A4">
      <w:pPr>
        <w:spacing w:before="60" w:after="60"/>
        <w:ind w:firstLine="567"/>
        <w:jc w:val="both"/>
        <w:rPr>
          <w:b/>
          <w:lang w:val="vi-VN"/>
        </w:rPr>
      </w:pPr>
      <w:r w:rsidRPr="002561C3">
        <w:rPr>
          <w:b/>
          <w:lang w:val="vi-VN"/>
        </w:rPr>
        <w:t>I</w:t>
      </w:r>
      <w:r w:rsidR="009817A6" w:rsidRPr="002561C3">
        <w:rPr>
          <w:b/>
          <w:lang w:val="vi-VN"/>
        </w:rPr>
        <w:t>V. BỐ CỤC VÀ NỘI DUNG CƠ BẢN CỦA DỰ THẢO THÔNG TƯ</w:t>
      </w:r>
    </w:p>
    <w:p w14:paraId="04A9FD36" w14:textId="6F8A7A0E" w:rsidR="00ED2B50" w:rsidRDefault="00ED2B50" w:rsidP="00AB39A4">
      <w:pPr>
        <w:spacing w:before="60" w:after="60"/>
        <w:ind w:firstLine="567"/>
        <w:jc w:val="both"/>
        <w:rPr>
          <w:b/>
        </w:rPr>
      </w:pPr>
      <w:r>
        <w:rPr>
          <w:b/>
        </w:rPr>
        <w:t>1. Phạm vi điều chỉnh, đối tượng áp dụng</w:t>
      </w:r>
    </w:p>
    <w:p w14:paraId="09B9E413" w14:textId="108B78C2" w:rsidR="00B37086" w:rsidRPr="00290B33" w:rsidRDefault="00B37086" w:rsidP="00AB39A4">
      <w:pPr>
        <w:spacing w:line="360" w:lineRule="exact"/>
        <w:ind w:firstLine="567"/>
        <w:contextualSpacing/>
        <w:jc w:val="both"/>
        <w:rPr>
          <w:b/>
        </w:rPr>
      </w:pPr>
      <w:r>
        <w:rPr>
          <w:b/>
        </w:rPr>
        <w:t>1.</w:t>
      </w:r>
      <w:r w:rsidRPr="00290B33">
        <w:rPr>
          <w:b/>
        </w:rPr>
        <w:t>1. Phạm vi điều chỉnh</w:t>
      </w:r>
    </w:p>
    <w:p w14:paraId="3B6F5477" w14:textId="77777777" w:rsidR="00B37086" w:rsidRPr="00290B33" w:rsidRDefault="00B37086" w:rsidP="00AB39A4">
      <w:pPr>
        <w:spacing w:line="360" w:lineRule="exact"/>
        <w:ind w:firstLine="567"/>
        <w:contextualSpacing/>
        <w:jc w:val="both"/>
        <w:rPr>
          <w:shd w:val="clear" w:color="auto" w:fill="FFFFFF"/>
        </w:rPr>
      </w:pPr>
      <w:r w:rsidRPr="00290B33">
        <w:rPr>
          <w:shd w:val="clear" w:color="auto" w:fill="FFFFFF"/>
        </w:rPr>
        <w:t>Theo quy định tại Điều 8 Luật Tổ chức chính phủ: Bộ trưởng phân cấp cho đơn vị trực thuộc Bộ, trừ trường hợp pháp luật quy định không được phân cấp. Trong quá trình thực hiện, có 02 quan điểm liên quan đến quy định này cụ thể:</w:t>
      </w:r>
    </w:p>
    <w:p w14:paraId="39082F79" w14:textId="77777777" w:rsidR="00B37086" w:rsidRPr="00290B33" w:rsidRDefault="00B37086" w:rsidP="00AB39A4">
      <w:pPr>
        <w:spacing w:line="360" w:lineRule="exact"/>
        <w:ind w:firstLine="567"/>
        <w:contextualSpacing/>
        <w:jc w:val="both"/>
        <w:rPr>
          <w:shd w:val="clear" w:color="auto" w:fill="FFFFFF"/>
        </w:rPr>
      </w:pPr>
      <w:r w:rsidRPr="00290B33">
        <w:rPr>
          <w:i/>
          <w:shd w:val="clear" w:color="auto" w:fill="FFFFFF"/>
        </w:rPr>
        <w:t>- Quan điểm thứ nhất:</w:t>
      </w:r>
      <w:r w:rsidRPr="00290B33">
        <w:rPr>
          <w:shd w:val="clear" w:color="auto" w:fill="FFFFFF"/>
        </w:rPr>
        <w:t xml:space="preserve"> Bộ trưởng chỉ phân cấp cho Cục trưởng Cục Quản lý THADS, không phân cấp cho Trưởng THADS cấp tỉnh, Trưởng ban và tương đương thuộc Cục Quản lý THADS và Trưởng phòng và tương đương thuộc THADS cấp tỉnh.</w:t>
      </w:r>
    </w:p>
    <w:p w14:paraId="0A12116C" w14:textId="77777777" w:rsidR="00B37086" w:rsidRPr="00290B33" w:rsidRDefault="00B37086" w:rsidP="00AB39A4">
      <w:pPr>
        <w:spacing w:line="360" w:lineRule="exact"/>
        <w:ind w:firstLine="567"/>
        <w:contextualSpacing/>
        <w:jc w:val="both"/>
        <w:rPr>
          <w:shd w:val="clear" w:color="auto" w:fill="FFFFFF"/>
        </w:rPr>
      </w:pPr>
      <w:r w:rsidRPr="00290B33">
        <w:rPr>
          <w:i/>
          <w:shd w:val="clear" w:color="auto" w:fill="FFFFFF"/>
        </w:rPr>
        <w:t>- Quan điểm thứ hai:</w:t>
      </w:r>
      <w:r w:rsidRPr="00290B33">
        <w:rPr>
          <w:shd w:val="clear" w:color="auto" w:fill="FFFFFF"/>
        </w:rPr>
        <w:t xml:space="preserve"> Bộ trưởng có thể phân cấp cho cả Cục trưởng Cục Quản lý THADS, Trưởng THADS cấp tỉnh, Trưởng ban và tương đương thuộc Cục Quản lý THADS và Trưởng phòng và tương đương thuộc THADS cấp tỉnh.</w:t>
      </w:r>
    </w:p>
    <w:p w14:paraId="72331541" w14:textId="77777777" w:rsidR="00B37086" w:rsidRPr="00290B33" w:rsidRDefault="00B37086" w:rsidP="00AB39A4">
      <w:pPr>
        <w:spacing w:line="360" w:lineRule="exact"/>
        <w:ind w:firstLine="567"/>
        <w:contextualSpacing/>
        <w:jc w:val="both"/>
        <w:rPr>
          <w:shd w:val="clear" w:color="auto" w:fill="FFFFFF"/>
        </w:rPr>
      </w:pPr>
      <w:r w:rsidRPr="00290B33">
        <w:rPr>
          <w:shd w:val="clear" w:color="auto" w:fill="FFFFFF"/>
        </w:rPr>
        <w:t>Cục Quản lý THADS thấy rằng quan điểm thứ hai là phù hợp hơn, do:</w:t>
      </w:r>
    </w:p>
    <w:p w14:paraId="2CC34138" w14:textId="77777777" w:rsidR="00B37086" w:rsidRPr="00290B33" w:rsidRDefault="00B37086" w:rsidP="00AB39A4">
      <w:pPr>
        <w:spacing w:line="360" w:lineRule="exact"/>
        <w:ind w:firstLine="567"/>
        <w:contextualSpacing/>
        <w:jc w:val="both"/>
        <w:rPr>
          <w:shd w:val="clear" w:color="auto" w:fill="FFFFFF"/>
        </w:rPr>
      </w:pPr>
      <w:r w:rsidRPr="00290B33">
        <w:rPr>
          <w:shd w:val="clear" w:color="auto" w:fill="FFFFFF"/>
        </w:rPr>
        <w:t xml:space="preserve">+ Qua rà soát, Luật Tổ chức chính phủ và các văn bản quy phạm pháp luật liên quan không có quy định cụ thể về khái niệm đơn vị trực thuộc. </w:t>
      </w:r>
    </w:p>
    <w:p w14:paraId="59A9DCAE" w14:textId="77777777" w:rsidR="00B37086" w:rsidRPr="00290B33" w:rsidRDefault="00B37086" w:rsidP="00AB39A4">
      <w:pPr>
        <w:spacing w:line="360" w:lineRule="exact"/>
        <w:ind w:firstLine="567"/>
        <w:contextualSpacing/>
        <w:jc w:val="both"/>
        <w:rPr>
          <w:shd w:val="clear" w:color="auto" w:fill="FFFFFF"/>
        </w:rPr>
      </w:pPr>
      <w:r w:rsidRPr="00290B33">
        <w:rPr>
          <w:shd w:val="clear" w:color="auto" w:fill="FFFFFF"/>
        </w:rPr>
        <w:t>+ Quy định Bộ trưởng phân cấp cho tổ chức, đơn vị trực thuộc Bộ tại Luật Tổ chức Chính phủ năm 2025 không phải quy định mới. Tại Luật Tổ chức Chính phủ năm 2015 và Nghị định số 123/2016/NĐ-CP, sửa đổi, bổ sung năm 2020 và năm 2024 đã quy định nội dung này</w:t>
      </w:r>
      <w:r w:rsidRPr="00290B33">
        <w:rPr>
          <w:rStyle w:val="FootnoteReference"/>
          <w:lang w:val="nl-NL"/>
        </w:rPr>
        <w:footnoteReference w:id="1"/>
      </w:r>
      <w:r w:rsidRPr="00290B33">
        <w:rPr>
          <w:shd w:val="clear" w:color="auto" w:fill="FFFFFF"/>
        </w:rPr>
        <w:t>.</w:t>
      </w:r>
    </w:p>
    <w:p w14:paraId="6483E928" w14:textId="77777777" w:rsidR="00B37086" w:rsidRPr="00290B33" w:rsidRDefault="00B37086" w:rsidP="00AB39A4">
      <w:pPr>
        <w:spacing w:line="360" w:lineRule="exact"/>
        <w:ind w:firstLine="567"/>
        <w:contextualSpacing/>
        <w:jc w:val="both"/>
        <w:rPr>
          <w:shd w:val="clear" w:color="auto" w:fill="FFFFFF"/>
        </w:rPr>
      </w:pPr>
      <w:r w:rsidRPr="00290B33">
        <w:rPr>
          <w:shd w:val="clear" w:color="auto" w:fill="FFFFFF"/>
        </w:rPr>
        <w:lastRenderedPageBreak/>
        <w:t xml:space="preserve">Theo Thông tư số 09/2015/TT-BTP, Bộ trưởng Bộ Tư pháp đã phân cấp quản lý công chức, viên chức, người lao động cơ quan Tổng cục THADS và cơ </w:t>
      </w:r>
      <w:r w:rsidRPr="00290B33">
        <w:rPr>
          <w:spacing w:val="-4"/>
          <w:shd w:val="clear" w:color="auto" w:fill="FFFFFF"/>
        </w:rPr>
        <w:t>quan THADS cho Tổng Cục trưởng Tổng cục THADS, Cục trưởng Cục THADS</w:t>
      </w:r>
      <w:r w:rsidRPr="00290B33">
        <w:rPr>
          <w:shd w:val="clear" w:color="auto" w:fill="FFFFFF"/>
        </w:rPr>
        <w:t xml:space="preserve"> cấp tỉnh, Chi cục trưởng Chi cục THADS cấp huyện. </w:t>
      </w:r>
    </w:p>
    <w:p w14:paraId="33949D97" w14:textId="77777777" w:rsidR="00B37086" w:rsidRPr="00290B33" w:rsidRDefault="00B37086" w:rsidP="00AB39A4">
      <w:pPr>
        <w:spacing w:line="360" w:lineRule="exact"/>
        <w:ind w:firstLine="567"/>
        <w:contextualSpacing/>
        <w:jc w:val="both"/>
        <w:rPr>
          <w:shd w:val="clear" w:color="auto" w:fill="FFFFFF"/>
        </w:rPr>
      </w:pPr>
      <w:r w:rsidRPr="00290B33">
        <w:rPr>
          <w:shd w:val="clear" w:color="auto" w:fill="FFFFFF"/>
        </w:rPr>
        <w:t>+ Tham khảo việc phân cấp quản lý của Bộ Tài chính tại Quyết định số 1528/QĐ-BTC ngày 28/4/2025 quy định về phân công, phân cấp công tác quản lý tổ chức, cán bộ tại Bộ Tài chính, Bộ trưởng Bộ Tài chính phân cấp quản lý trong công tác tổ chức, cán bộ cho Cục trưởng thuộc Bộ và Trưởng khu vực và tương đương.</w:t>
      </w:r>
    </w:p>
    <w:p w14:paraId="676E7F92" w14:textId="77777777" w:rsidR="00B37086" w:rsidRPr="00290B33" w:rsidRDefault="00B37086" w:rsidP="00AB39A4">
      <w:pPr>
        <w:spacing w:line="360" w:lineRule="exact"/>
        <w:ind w:firstLine="567"/>
        <w:contextualSpacing/>
        <w:jc w:val="both"/>
        <w:rPr>
          <w:shd w:val="clear" w:color="auto" w:fill="FFFFFF"/>
        </w:rPr>
      </w:pPr>
      <w:r w:rsidRPr="00290B33">
        <w:rPr>
          <w:shd w:val="clear" w:color="auto" w:fill="FFFFFF"/>
        </w:rPr>
        <w:t xml:space="preserve">Căn cứ các lập luận nêu trên, Cục Quản lý THADS đề xuất </w:t>
      </w:r>
      <w:r>
        <w:rPr>
          <w:shd w:val="clear" w:color="auto" w:fill="FFFFFF"/>
        </w:rPr>
        <w:t>Ban Thường vụ Đảng ủy</w:t>
      </w:r>
      <w:r w:rsidRPr="00290B33">
        <w:rPr>
          <w:shd w:val="clear" w:color="auto" w:fill="FFFFFF"/>
        </w:rPr>
        <w:t xml:space="preserve"> Bộ Tư pháp xem xét xác định phạm vi điều chỉnh của Thông tư phân cấp quản lý tổ chức cán bộ hệ thống THADS: phân cấp quản lý tổ chức cán bộ cho Cục trưởng Cục Quản lý THADS, Trưởng THADS cấp tỉnh, Trưởng ban và tương đương thuộc Cục Quản lý THADS và Trưởng phòng và tương đương thuộc THADS cấp tỉnh.</w:t>
      </w:r>
    </w:p>
    <w:p w14:paraId="1520FC74" w14:textId="77777777" w:rsidR="00B37086" w:rsidRPr="00290B33" w:rsidRDefault="00B37086" w:rsidP="00AB39A4">
      <w:pPr>
        <w:spacing w:line="360" w:lineRule="exact"/>
        <w:ind w:firstLine="567"/>
        <w:contextualSpacing/>
        <w:jc w:val="both"/>
        <w:rPr>
          <w:shd w:val="clear" w:color="auto" w:fill="FFFFFF"/>
        </w:rPr>
      </w:pPr>
      <w:r w:rsidRPr="00290B33">
        <w:rPr>
          <w:shd w:val="clear" w:color="auto" w:fill="FFFFFF"/>
        </w:rPr>
        <w:t xml:space="preserve">Trường hợp phạm vi điều chỉnh của Thông tư chỉ dừng lại ở việc phân cấp quản lý tổ chức cán bộ hệ thống THADS cho Cục trưởng Cục Quản lý THADS thì Cục Quản lý THADS đề xuất </w:t>
      </w:r>
      <w:r>
        <w:rPr>
          <w:shd w:val="clear" w:color="auto" w:fill="FFFFFF"/>
        </w:rPr>
        <w:t>Ban Thường vụ Đảng ủy Bộ</w:t>
      </w:r>
      <w:r w:rsidRPr="00290B33">
        <w:rPr>
          <w:shd w:val="clear" w:color="auto" w:fill="FFFFFF"/>
        </w:rPr>
        <w:t xml:space="preserve"> Tư pháp nhất trí giao Cục trưởng Cục THADS ký văn bản ủy quyền cho Trưởng THADS cấp tỉnh, Trưởng ban và tương đương thuộc Cục Quản lý THADS và Trưởng phòng và tương đương thuộc THADS cấp tỉnh thực hiện một số nội dung liên quan đến công tác tổ chức cán bộ.</w:t>
      </w:r>
    </w:p>
    <w:p w14:paraId="2D819DA6" w14:textId="7F8F1AA3" w:rsidR="00B37086" w:rsidRPr="00290B33" w:rsidRDefault="00B37086" w:rsidP="00AB39A4">
      <w:pPr>
        <w:spacing w:line="360" w:lineRule="exact"/>
        <w:ind w:firstLine="567"/>
        <w:contextualSpacing/>
        <w:jc w:val="both"/>
        <w:rPr>
          <w:b/>
          <w:shd w:val="clear" w:color="auto" w:fill="FFFFFF"/>
        </w:rPr>
      </w:pPr>
      <w:r>
        <w:rPr>
          <w:b/>
          <w:shd w:val="clear" w:color="auto" w:fill="FFFFFF"/>
        </w:rPr>
        <w:t>1.</w:t>
      </w:r>
      <w:r w:rsidRPr="00290B33">
        <w:rPr>
          <w:b/>
          <w:shd w:val="clear" w:color="auto" w:fill="FFFFFF"/>
        </w:rPr>
        <w:t>2. Đối tượng áp dụng</w:t>
      </w:r>
    </w:p>
    <w:p w14:paraId="6089A2EC" w14:textId="77777777" w:rsidR="00B37086" w:rsidRPr="00290B33" w:rsidRDefault="00B37086" w:rsidP="00AB39A4">
      <w:pPr>
        <w:spacing w:line="350" w:lineRule="exact"/>
        <w:ind w:firstLine="567"/>
        <w:contextualSpacing/>
        <w:jc w:val="both"/>
        <w:rPr>
          <w:shd w:val="clear" w:color="auto" w:fill="FFFFFF"/>
        </w:rPr>
      </w:pPr>
      <w:r w:rsidRPr="00290B33">
        <w:rPr>
          <w:shd w:val="clear" w:color="auto" w:fill="FFFFFF"/>
        </w:rPr>
        <w:t xml:space="preserve">Các đơn vị thuộc Cục Quản lý THADS, các đơn vị thuộc cơ quan THADS </w:t>
      </w:r>
      <w:r w:rsidRPr="00290B33">
        <w:rPr>
          <w:spacing w:val="-4"/>
          <w:shd w:val="clear" w:color="auto" w:fill="FFFFFF"/>
        </w:rPr>
        <w:t>cấp tỉnh, công chức, người lao động Cục Quản lý THADS và các cơ quan THADS</w:t>
      </w:r>
      <w:r w:rsidRPr="00290B33">
        <w:rPr>
          <w:shd w:val="clear" w:color="auto" w:fill="FFFFFF"/>
        </w:rPr>
        <w:t xml:space="preserve"> cấp tỉnh.</w:t>
      </w:r>
    </w:p>
    <w:p w14:paraId="2E797076" w14:textId="761D3E77" w:rsidR="00ED2B50" w:rsidRDefault="00B37086" w:rsidP="00AB39A4">
      <w:pPr>
        <w:spacing w:before="60" w:after="60"/>
        <w:ind w:firstLine="567"/>
        <w:jc w:val="both"/>
        <w:rPr>
          <w:b/>
        </w:rPr>
      </w:pPr>
      <w:r>
        <w:rPr>
          <w:b/>
        </w:rPr>
        <w:t>2. Bố cục dự thảo văn bản</w:t>
      </w:r>
    </w:p>
    <w:p w14:paraId="0832A7E9" w14:textId="77777777" w:rsidR="00F26EE3" w:rsidRPr="00F26EE3" w:rsidRDefault="00F26EE3" w:rsidP="00AB39A4">
      <w:pPr>
        <w:spacing w:before="60" w:after="60"/>
        <w:ind w:firstLine="567"/>
        <w:jc w:val="both"/>
      </w:pPr>
      <w:r w:rsidRPr="00F26EE3">
        <w:t>Dự thảo Thông tư gồm 05 Chương, cụ thể:</w:t>
      </w:r>
    </w:p>
    <w:p w14:paraId="1A605B55" w14:textId="77777777" w:rsidR="00F26EE3" w:rsidRPr="00F26EE3" w:rsidRDefault="00F26EE3" w:rsidP="00AB39A4">
      <w:pPr>
        <w:spacing w:before="60" w:after="60"/>
        <w:ind w:firstLine="567"/>
        <w:jc w:val="both"/>
      </w:pPr>
      <w:r w:rsidRPr="00F26EE3">
        <w:t>- Chương 1: Quy định chung</w:t>
      </w:r>
    </w:p>
    <w:p w14:paraId="7D9C7C81" w14:textId="77777777" w:rsidR="00F26EE3" w:rsidRPr="00F26EE3" w:rsidRDefault="00F26EE3" w:rsidP="00AB39A4">
      <w:pPr>
        <w:spacing w:before="60" w:after="60"/>
        <w:ind w:firstLine="567"/>
        <w:jc w:val="both"/>
      </w:pPr>
      <w:r w:rsidRPr="00F26EE3">
        <w:t>- Chương 2: Thẩm quyền về tổ chức bộ máy, vị trí việc làm, cơ cấu ngạch công chức và biên chế</w:t>
      </w:r>
    </w:p>
    <w:p w14:paraId="77615CA4" w14:textId="77777777" w:rsidR="00F26EE3" w:rsidRPr="00F26EE3" w:rsidRDefault="00F26EE3" w:rsidP="00AB39A4">
      <w:pPr>
        <w:spacing w:before="60" w:after="60"/>
        <w:ind w:firstLine="567"/>
        <w:jc w:val="both"/>
      </w:pPr>
      <w:r w:rsidRPr="00F26EE3">
        <w:t>- Chương 3: Thẩm quyền về tuyển dụng công chức, ký kết hợp đồng lao động</w:t>
      </w:r>
    </w:p>
    <w:p w14:paraId="6D2C027A" w14:textId="77777777" w:rsidR="00F26EE3" w:rsidRPr="00F26EE3" w:rsidRDefault="00F26EE3" w:rsidP="00AB39A4">
      <w:pPr>
        <w:spacing w:before="60" w:after="60"/>
        <w:ind w:firstLine="567"/>
        <w:jc w:val="both"/>
      </w:pPr>
      <w:r w:rsidRPr="00F26EE3">
        <w:t>- Chương 4: Thẩm quyền về quản lý, sử dụng công chức, người lao động</w:t>
      </w:r>
    </w:p>
    <w:p w14:paraId="5AF24DF2" w14:textId="2ED1C898" w:rsidR="00B37086" w:rsidRDefault="00F26EE3" w:rsidP="00AB39A4">
      <w:pPr>
        <w:spacing w:before="60" w:after="60"/>
        <w:ind w:firstLine="567"/>
        <w:jc w:val="both"/>
      </w:pPr>
      <w:r w:rsidRPr="00F26EE3">
        <w:t>- Chương 5: Tổ chức thực hiện</w:t>
      </w:r>
    </w:p>
    <w:p w14:paraId="4109361A" w14:textId="7AC58F12" w:rsidR="00F26EE3" w:rsidRDefault="00F26EE3" w:rsidP="00AB39A4">
      <w:pPr>
        <w:spacing w:before="60" w:after="60"/>
        <w:ind w:firstLine="567"/>
        <w:jc w:val="both"/>
        <w:rPr>
          <w:b/>
        </w:rPr>
      </w:pPr>
      <w:r>
        <w:rPr>
          <w:b/>
        </w:rPr>
        <w:t>3. Nội dung cơ bản</w:t>
      </w:r>
    </w:p>
    <w:p w14:paraId="70923F94" w14:textId="2074E1FF" w:rsidR="00AB39A4" w:rsidRPr="00AB39A4" w:rsidRDefault="00AB39A4" w:rsidP="00AB39A4">
      <w:pPr>
        <w:spacing w:before="60" w:after="60"/>
        <w:ind w:firstLine="567"/>
        <w:jc w:val="both"/>
      </w:pPr>
      <w:r w:rsidRPr="00AB39A4">
        <w:lastRenderedPageBreak/>
        <w:t>Thông tư phân cấp quản lý tổ chức cán bộ hệ thống THADS quy định về nguyên tắc, nội dung, thẩm quyền của Cục trưởng Cục Quản lý THADS, Trưởng THADS cấp tỉnh, Trưởng ban và tương đương thuộc Cục Quản lý THADS và Trưởng phòng và tương đương thuộc THADS cấp tỉnh trong quản lý tổ chức cán bộ hệ thống THADS, bao gồm các nội dung phân cấp về tổ chức bộ máy, vị trí việc làm, cơ cấu ngạch công chức và biên chế; tuyển dụng, tiếp nhận và tiếp nhận vào công chức; về quản lý, sử dụng công chức, người lao động (bố trí và xếp ngạch ngạch công chức theo vị trí việc làm; điều động, biệt phái công chức; quy hoạch, bổ nhiệm công chức lãnh đạo, quản lý; thi đua, khen thưởng; kỷ luật; thực hiện chế độ chính sách; nghỉ hưu, thôi việc đối với công chức…).</w:t>
      </w:r>
    </w:p>
    <w:p w14:paraId="359DFDA3" w14:textId="77777777" w:rsidR="00AB39A4" w:rsidRPr="00AB39A4" w:rsidRDefault="00AB39A4" w:rsidP="00AB39A4">
      <w:pPr>
        <w:spacing w:before="60" w:after="60"/>
        <w:ind w:firstLine="567"/>
        <w:jc w:val="both"/>
      </w:pPr>
      <w:r w:rsidRPr="00AB39A4">
        <w:t>Việc phân cấp quản lý tổ chức cán bộ hệ thống THADS kế thừa nội dung phân cấp theo quy định tại Thông tư số 09/2015/TT-BTP và đồng bộ với quy định về thẩm quyền quản lý, sử dụng công chức theo quy định tại Luật Cán bộ, công chức mới và các Nghị định hướng dẫn liên quan:</w:t>
      </w:r>
    </w:p>
    <w:p w14:paraId="7F8B1FAB" w14:textId="77777777" w:rsidR="00AB39A4" w:rsidRPr="00AB39A4" w:rsidRDefault="00AB39A4" w:rsidP="00AB39A4">
      <w:pPr>
        <w:spacing w:before="60" w:after="60"/>
        <w:ind w:firstLine="567"/>
        <w:jc w:val="both"/>
      </w:pPr>
      <w:r w:rsidRPr="00AB39A4">
        <w:t>- Cục trưởng Cục Quản lý THADS được phân cấp quyết định các nội dung sử dụng công chức đối với chức danh Phó Trưởng ban và tương đương thuộc Cục Quản lý THADS, Phó Trưởng THADS cấp tỉnh (trừ thành phố Hà Nội và Thành phố Hồ Chí Minh), công chức, người lao động cơ quan Cục Quản lý THADS; quyết định giao biên chế các đơn vị thuộc Cục Quản lý THADS và THADS cấp tỉnh, tuyển dụng công chức hệ thống THADS vào vị trí việc làm ngạch chuyên viên chính và tương đương trở xuống, bổ nhiệm vào ngạch Thẩm tra viên chính, Thẩm tra viên đối với công chức hệ thống THADS, bổ nhiệm vào các ngạch Chuyên viên chính và tương đương trở xuống đối với công chức cơ quan Cục Quản lý THADS (trừ các nội dung thuộc thẩm quyền của Bộ trưởng Bộ Tư pháp).</w:t>
      </w:r>
    </w:p>
    <w:p w14:paraId="174AE606" w14:textId="77777777" w:rsidR="00AB39A4" w:rsidRPr="00AB39A4" w:rsidRDefault="00AB39A4" w:rsidP="00AB39A4">
      <w:pPr>
        <w:spacing w:before="60" w:after="60"/>
        <w:ind w:firstLine="567"/>
        <w:jc w:val="both"/>
      </w:pPr>
      <w:r w:rsidRPr="00AB39A4">
        <w:t>- Trưởng THADS cấp tỉnh được phân cấp quyết định giao biên chế các đơn vị thuộc cơ quan THADS cấp tỉnh; quyết định các nội dung sử dụng công chức đối với chức danh lãnh đạo Phòng và tương đương, công chức, người lao động cơ quan THADS cấp tỉnh (trừ các nội dung thuộc thẩm quyền của Bộ trưởng Bộ Tư pháp và Cục trưởng Cục Quản lý THADS).</w:t>
      </w:r>
    </w:p>
    <w:p w14:paraId="2F67343F" w14:textId="77777777" w:rsidR="00AB39A4" w:rsidRPr="00AB39A4" w:rsidRDefault="00AB39A4" w:rsidP="00AB39A4">
      <w:pPr>
        <w:spacing w:before="60" w:after="60"/>
        <w:ind w:firstLine="567"/>
        <w:jc w:val="both"/>
      </w:pPr>
      <w:r w:rsidRPr="00AB39A4">
        <w:t>- Trưởng ban và tương đương thuộc Cục Quản lý THADS được phân cấp phân công, bố trí, kiểm tra, đánh giá việc thực hiện nhiệm vụ, quyền hạn của cấp phó của người đứng đầu đơn vị và công chức không giữ chức vụ lãnh đạo, quản lý của đơn vị.</w:t>
      </w:r>
    </w:p>
    <w:p w14:paraId="080E963C" w14:textId="518F3BF4" w:rsidR="00F26EE3" w:rsidRDefault="00AB39A4" w:rsidP="00AB39A4">
      <w:pPr>
        <w:spacing w:before="60" w:after="60"/>
        <w:ind w:firstLine="567"/>
        <w:jc w:val="both"/>
      </w:pPr>
      <w:r w:rsidRPr="00AB39A4">
        <w:t>- Trưởng phòng và tương đương thuộc THADS cấp tỉnh được phân cấp phân công, bố trí, kiểm tra, đánh giá việc thực hiện nhiệm vụ, quyền hạn của cấp phó của người đứng đầu đơn vị và công chức không giữ chức vụ lãnh đạo, quản lý của đơn vị.</w:t>
      </w:r>
    </w:p>
    <w:p w14:paraId="472E1DD2" w14:textId="77777777" w:rsidR="00AB39A4" w:rsidRPr="00290B33" w:rsidRDefault="00AB39A4" w:rsidP="00AB39A4">
      <w:pPr>
        <w:spacing w:line="276" w:lineRule="auto"/>
        <w:contextualSpacing/>
        <w:jc w:val="center"/>
        <w:rPr>
          <w:i/>
        </w:rPr>
      </w:pPr>
      <w:r w:rsidRPr="00290B33">
        <w:rPr>
          <w:i/>
        </w:rPr>
        <w:t>(Chi tiết tại Phụ lục số 2 kèm theo)</w:t>
      </w:r>
    </w:p>
    <w:p w14:paraId="1E52EF16" w14:textId="4BCCA385" w:rsidR="00815C6D" w:rsidRPr="007A6B5E" w:rsidRDefault="00815C6D" w:rsidP="00AB39A4">
      <w:pPr>
        <w:spacing w:before="60" w:after="60"/>
        <w:ind w:firstLine="567"/>
        <w:jc w:val="both"/>
        <w:rPr>
          <w:b/>
          <w:lang w:val="nb-NO"/>
        </w:rPr>
      </w:pPr>
      <w:r w:rsidRPr="007A6B5E">
        <w:rPr>
          <w:b/>
          <w:lang w:val="nb-NO"/>
        </w:rPr>
        <w:t xml:space="preserve">V. DỰ KIẾN NGUỒN LỰC, ĐIỀU KIỆN BẢO ĐẢM </w:t>
      </w:r>
    </w:p>
    <w:p w14:paraId="40C979BA" w14:textId="6F2BCE0F" w:rsidR="00FC5A31" w:rsidRPr="007A6B5E" w:rsidRDefault="00FC0AF7" w:rsidP="00AB39A4">
      <w:pPr>
        <w:spacing w:before="60" w:after="60"/>
        <w:ind w:firstLine="567"/>
        <w:jc w:val="both"/>
        <w:rPr>
          <w:lang w:val="nb-NO"/>
        </w:rPr>
      </w:pPr>
      <w:bookmarkStart w:id="0" w:name="loai_1_name"/>
      <w:r w:rsidRPr="007A6B5E">
        <w:rPr>
          <w:lang w:val="nb-NO"/>
        </w:rPr>
        <w:t>1. Nguồn kinh phí</w:t>
      </w:r>
    </w:p>
    <w:p w14:paraId="7E8D16D9" w14:textId="62892C31" w:rsidR="00FC0AF7" w:rsidRPr="007A6B5E" w:rsidRDefault="00FC0AF7" w:rsidP="00AB39A4">
      <w:pPr>
        <w:spacing w:before="60" w:after="60"/>
        <w:ind w:firstLine="567"/>
        <w:jc w:val="both"/>
        <w:rPr>
          <w:lang w:val="nb-NO"/>
        </w:rPr>
      </w:pPr>
      <w:r w:rsidRPr="007A6B5E">
        <w:rPr>
          <w:lang w:val="nb-NO"/>
        </w:rPr>
        <w:t>Kinh phí tổ chức thi hành Thông tư từ nguồn ngân sách Trung ương.</w:t>
      </w:r>
    </w:p>
    <w:p w14:paraId="437139EE" w14:textId="269188B5" w:rsidR="00FC0AF7" w:rsidRPr="007A6B5E" w:rsidRDefault="00FC0AF7" w:rsidP="00AB39A4">
      <w:pPr>
        <w:spacing w:before="60" w:after="60"/>
        <w:ind w:firstLine="567"/>
        <w:jc w:val="both"/>
        <w:rPr>
          <w:lang w:val="nb-NO"/>
        </w:rPr>
      </w:pPr>
      <w:r w:rsidRPr="007A6B5E">
        <w:rPr>
          <w:lang w:val="nb-NO"/>
        </w:rPr>
        <w:t>2. Các điều kiện bảo đảm thi hành Thông tư</w:t>
      </w:r>
    </w:p>
    <w:p w14:paraId="38363C0E" w14:textId="05C2965F" w:rsidR="00FC0AF7" w:rsidRPr="007A6B5E" w:rsidRDefault="00FC0AF7" w:rsidP="00AB39A4">
      <w:pPr>
        <w:spacing w:before="60" w:after="60"/>
        <w:ind w:firstLine="567"/>
        <w:jc w:val="both"/>
        <w:rPr>
          <w:lang w:val="nb-NO"/>
        </w:rPr>
      </w:pPr>
      <w:r w:rsidRPr="007A6B5E">
        <w:rPr>
          <w:spacing w:val="-2"/>
          <w:lang w:val="nb-NO"/>
        </w:rPr>
        <w:lastRenderedPageBreak/>
        <w:t xml:space="preserve">Đội ngũ công chức hệ thống THADS là nguồn nhân lực chủ yếu tổ chức thi hành Thông tư này. Do vậy, sau khi được ban hành và có hiệu lực, việc thi hành Thông tư không làm tăng biên chế, nguồn nhân lực cơ bản đáp ứng yêu cầu của công tác triển khai thi hành. Việc phân cấp thẩm quyền đã được thực hiện trong </w:t>
      </w:r>
      <w:r w:rsidRPr="007A6B5E">
        <w:rPr>
          <w:spacing w:val="-4"/>
          <w:lang w:val="nb-NO"/>
        </w:rPr>
        <w:t>thời gian qua chưa thấy có vướng mắc, khó khăn trong việc thực hiện tại các đơn vị.</w:t>
      </w:r>
    </w:p>
    <w:p w14:paraId="22D0D9BF" w14:textId="5C6B494B" w:rsidR="00814CB1" w:rsidRPr="007A6B5E" w:rsidRDefault="000845C4" w:rsidP="00AB39A4">
      <w:pPr>
        <w:spacing w:before="60" w:after="60"/>
        <w:ind w:firstLine="567"/>
        <w:jc w:val="both"/>
        <w:rPr>
          <w:lang w:val="nb-NO"/>
        </w:rPr>
      </w:pPr>
      <w:r w:rsidRPr="007A6B5E">
        <w:rPr>
          <w:lang w:val="nb-NO"/>
        </w:rPr>
        <w:t xml:space="preserve">Trên đây là Tờ trình về </w:t>
      </w:r>
      <w:r w:rsidR="007A4767" w:rsidRPr="007A6B5E">
        <w:rPr>
          <w:lang w:val="nb-NO"/>
        </w:rPr>
        <w:t>dự</w:t>
      </w:r>
      <w:r w:rsidR="007A4767" w:rsidRPr="007A6B5E">
        <w:rPr>
          <w:lang w:val="vi-VN"/>
        </w:rPr>
        <w:t xml:space="preserve"> thảo Thông tư </w:t>
      </w:r>
      <w:r w:rsidR="0045534C">
        <w:rPr>
          <w:lang w:val="nb-NO"/>
        </w:rPr>
        <w:t>về phân cấp quản lý tổ chức cán bộ hệ thống THADS</w:t>
      </w:r>
      <w:r w:rsidR="007A4767" w:rsidRPr="007A6B5E">
        <w:rPr>
          <w:lang w:val="vi-VN"/>
        </w:rPr>
        <w:t xml:space="preserve">, </w:t>
      </w:r>
      <w:r w:rsidR="00F1334F" w:rsidRPr="007A6B5E">
        <w:rPr>
          <w:lang w:val="vi-VN"/>
        </w:rPr>
        <w:t>Cục Quản lý THADS</w:t>
      </w:r>
      <w:r w:rsidRPr="007A6B5E">
        <w:rPr>
          <w:lang w:val="nb-NO"/>
        </w:rPr>
        <w:t xml:space="preserve"> kính trình Bộ trưởng, Thứ trưởng xem xét, quyết định</w:t>
      </w:r>
      <w:bookmarkEnd w:id="0"/>
      <w:r w:rsidRPr="007A6B5E">
        <w:rPr>
          <w:lang w:val="nb-NO"/>
        </w:rPr>
        <w:t>.</w:t>
      </w:r>
    </w:p>
    <w:p w14:paraId="35E4C83E" w14:textId="2FECEAED" w:rsidR="009E4947" w:rsidRPr="007A6B5E" w:rsidRDefault="009E4947" w:rsidP="00AB39A4">
      <w:pPr>
        <w:spacing w:before="60" w:after="240"/>
        <w:ind w:firstLine="567"/>
        <w:jc w:val="both"/>
        <w:rPr>
          <w:i/>
          <w:lang w:val="nb-NO"/>
        </w:rPr>
      </w:pPr>
      <w:r w:rsidRPr="007A6B5E">
        <w:rPr>
          <w:i/>
          <w:lang w:val="nb-NO"/>
        </w:rPr>
        <w:t xml:space="preserve">(Xin gửi kèm theo: </w:t>
      </w:r>
      <w:r w:rsidR="005E7F9A">
        <w:rPr>
          <w:i/>
          <w:lang w:val="nb-NO"/>
        </w:rPr>
        <w:t>dự thảo Thông tư của Bộ trưởng Bộ Tư pháp về phân cấp quản lý tổ chức cán bộ hệ thống THADS</w:t>
      </w:r>
      <w:r w:rsidRPr="007A6B5E">
        <w:rPr>
          <w:i/>
          <w:lang w:val="nb-NO"/>
        </w:rPr>
        <w:t>)</w:t>
      </w:r>
      <w:r w:rsidR="00CE524B">
        <w:rPr>
          <w:i/>
          <w:lang w:val="nb-NO"/>
        </w:rPr>
        <w:t>./.</w:t>
      </w:r>
    </w:p>
    <w:tbl>
      <w:tblPr>
        <w:tblW w:w="0" w:type="auto"/>
        <w:tblLook w:val="01E0" w:firstRow="1" w:lastRow="1" w:firstColumn="1" w:lastColumn="1" w:noHBand="0" w:noVBand="0"/>
      </w:tblPr>
      <w:tblGrid>
        <w:gridCol w:w="4811"/>
        <w:gridCol w:w="4261"/>
      </w:tblGrid>
      <w:tr w:rsidR="00814CB1" w:rsidRPr="00926995" w14:paraId="1FF0DE83" w14:textId="77777777" w:rsidTr="00DE365C">
        <w:tc>
          <w:tcPr>
            <w:tcW w:w="4872" w:type="dxa"/>
          </w:tcPr>
          <w:p w14:paraId="413E2D68" w14:textId="77777777" w:rsidR="00814CB1" w:rsidRPr="00C52E40" w:rsidRDefault="00814CB1" w:rsidP="00B37086">
            <w:pPr>
              <w:jc w:val="both"/>
              <w:rPr>
                <w:b/>
                <w:bCs/>
                <w:i/>
                <w:sz w:val="22"/>
                <w:szCs w:val="22"/>
                <w:lang w:val="nl-NL"/>
              </w:rPr>
            </w:pPr>
            <w:r w:rsidRPr="00C52E40">
              <w:rPr>
                <w:b/>
                <w:bCs/>
                <w:i/>
                <w:sz w:val="22"/>
                <w:szCs w:val="22"/>
                <w:lang w:val="nl-NL"/>
              </w:rPr>
              <w:t>Nơi nhận:</w:t>
            </w:r>
          </w:p>
          <w:p w14:paraId="0960D164" w14:textId="77777777" w:rsidR="00814CB1" w:rsidRDefault="00814CB1" w:rsidP="00B37086">
            <w:pPr>
              <w:jc w:val="both"/>
              <w:rPr>
                <w:bCs/>
                <w:sz w:val="22"/>
                <w:szCs w:val="22"/>
                <w:lang w:val="nl-NL"/>
              </w:rPr>
            </w:pPr>
            <w:r w:rsidRPr="00C52E40">
              <w:rPr>
                <w:bCs/>
                <w:sz w:val="22"/>
                <w:szCs w:val="22"/>
                <w:lang w:val="nl-NL"/>
              </w:rPr>
              <w:t>- Như trên;</w:t>
            </w:r>
          </w:p>
          <w:p w14:paraId="624D9E4D" w14:textId="77777777" w:rsidR="00F1334F" w:rsidRPr="00F1334F" w:rsidRDefault="00F1334F" w:rsidP="00B37086">
            <w:pPr>
              <w:jc w:val="both"/>
              <w:rPr>
                <w:bCs/>
                <w:sz w:val="22"/>
                <w:szCs w:val="22"/>
                <w:lang w:val="vi-VN"/>
              </w:rPr>
            </w:pPr>
            <w:r>
              <w:rPr>
                <w:bCs/>
                <w:sz w:val="22"/>
                <w:szCs w:val="22"/>
                <w:lang w:val="vi-VN"/>
              </w:rPr>
              <w:t>- Cục trưởng (để b/c);</w:t>
            </w:r>
          </w:p>
          <w:p w14:paraId="56BED9EC" w14:textId="77777777" w:rsidR="00814CB1" w:rsidRPr="00926995" w:rsidRDefault="00814CB1" w:rsidP="00B37086">
            <w:pPr>
              <w:jc w:val="both"/>
              <w:rPr>
                <w:b/>
                <w:bCs/>
                <w:lang w:val="nb-NO"/>
              </w:rPr>
            </w:pPr>
            <w:r w:rsidRPr="00926995">
              <w:rPr>
                <w:bCs/>
                <w:sz w:val="22"/>
                <w:szCs w:val="22"/>
                <w:lang w:val="nb-NO"/>
              </w:rPr>
              <w:t xml:space="preserve">- Lưu: </w:t>
            </w:r>
            <w:r w:rsidR="003C36E8" w:rsidRPr="00926995">
              <w:rPr>
                <w:bCs/>
                <w:sz w:val="22"/>
                <w:szCs w:val="22"/>
                <w:lang w:val="nb-NO"/>
              </w:rPr>
              <w:t xml:space="preserve">VT, </w:t>
            </w:r>
            <w:r w:rsidRPr="00926995">
              <w:rPr>
                <w:bCs/>
                <w:sz w:val="22"/>
                <w:szCs w:val="22"/>
                <w:lang w:val="nb-NO"/>
              </w:rPr>
              <w:t>TCCB.</w:t>
            </w:r>
            <w:bookmarkStart w:id="1" w:name="_GoBack"/>
            <w:bookmarkEnd w:id="1"/>
          </w:p>
        </w:tc>
        <w:tc>
          <w:tcPr>
            <w:tcW w:w="4303" w:type="dxa"/>
          </w:tcPr>
          <w:p w14:paraId="72BB066D" w14:textId="77777777" w:rsidR="00814CB1" w:rsidRPr="004D1E5B" w:rsidRDefault="00F1334F" w:rsidP="00D60631">
            <w:pPr>
              <w:ind w:left="42"/>
              <w:jc w:val="center"/>
              <w:rPr>
                <w:b/>
                <w:bCs/>
                <w:lang w:val="nb-NO"/>
              </w:rPr>
            </w:pPr>
            <w:r w:rsidRPr="004D1E5B">
              <w:rPr>
                <w:b/>
                <w:bCs/>
                <w:lang w:val="nb-NO"/>
              </w:rPr>
              <w:t>KT</w:t>
            </w:r>
            <w:r w:rsidRPr="004D1E5B">
              <w:rPr>
                <w:b/>
                <w:bCs/>
                <w:lang w:val="vi-VN"/>
              </w:rPr>
              <w:t xml:space="preserve">. </w:t>
            </w:r>
            <w:r w:rsidR="003C36E8" w:rsidRPr="004D1E5B">
              <w:rPr>
                <w:b/>
                <w:bCs/>
                <w:lang w:val="nb-NO"/>
              </w:rPr>
              <w:t>CỤC</w:t>
            </w:r>
            <w:r w:rsidR="00814CB1" w:rsidRPr="004D1E5B">
              <w:rPr>
                <w:b/>
                <w:bCs/>
                <w:lang w:val="nb-NO"/>
              </w:rPr>
              <w:t xml:space="preserve"> TRƯỞNG</w:t>
            </w:r>
          </w:p>
          <w:p w14:paraId="0BF27FAF" w14:textId="77777777" w:rsidR="00814CB1" w:rsidRPr="004D1E5B" w:rsidRDefault="00F1334F" w:rsidP="00D60631">
            <w:pPr>
              <w:ind w:left="42"/>
              <w:jc w:val="center"/>
              <w:rPr>
                <w:b/>
                <w:bCs/>
                <w:lang w:val="vi-VN"/>
              </w:rPr>
            </w:pPr>
            <w:r w:rsidRPr="004D1E5B">
              <w:rPr>
                <w:b/>
                <w:bCs/>
                <w:lang w:val="vi-VN"/>
              </w:rPr>
              <w:t>PHÓ CỤC TRƯỞNG</w:t>
            </w:r>
          </w:p>
          <w:p w14:paraId="71190841" w14:textId="77777777" w:rsidR="00814CB1" w:rsidRPr="004D1E5B" w:rsidRDefault="00814CB1" w:rsidP="00D60631">
            <w:pPr>
              <w:spacing w:before="120" w:line="360" w:lineRule="atLeast"/>
              <w:ind w:left="42"/>
              <w:jc w:val="center"/>
              <w:rPr>
                <w:b/>
                <w:bCs/>
                <w:lang w:val="nb-NO"/>
              </w:rPr>
            </w:pPr>
          </w:p>
          <w:p w14:paraId="685EA1D8" w14:textId="77777777" w:rsidR="000E14BF" w:rsidRPr="004D1E5B" w:rsidRDefault="000E14BF" w:rsidP="00D60631">
            <w:pPr>
              <w:spacing w:before="120" w:line="360" w:lineRule="atLeast"/>
              <w:ind w:left="42"/>
              <w:jc w:val="center"/>
              <w:rPr>
                <w:b/>
                <w:bCs/>
                <w:lang w:val="nb-NO"/>
              </w:rPr>
            </w:pPr>
          </w:p>
          <w:p w14:paraId="1173BB9B" w14:textId="77777777" w:rsidR="00814CB1" w:rsidRPr="00F1334F" w:rsidRDefault="00F1334F" w:rsidP="00D60631">
            <w:pPr>
              <w:spacing w:before="120" w:line="360" w:lineRule="atLeast"/>
              <w:ind w:left="42"/>
              <w:jc w:val="center"/>
              <w:rPr>
                <w:b/>
                <w:bCs/>
                <w:lang w:val="vi-VN"/>
              </w:rPr>
            </w:pPr>
            <w:r w:rsidRPr="004D1E5B">
              <w:rPr>
                <w:b/>
                <w:bCs/>
                <w:lang w:val="vi-VN"/>
              </w:rPr>
              <w:t>Trần Thị Phương Hoa</w:t>
            </w:r>
          </w:p>
        </w:tc>
      </w:tr>
    </w:tbl>
    <w:p w14:paraId="7694F9B7" w14:textId="77777777" w:rsidR="00814CB1" w:rsidRPr="00926995" w:rsidRDefault="00814CB1" w:rsidP="00B37086">
      <w:pPr>
        <w:spacing w:after="60"/>
        <w:ind w:firstLine="567"/>
        <w:jc w:val="both"/>
        <w:rPr>
          <w:lang w:val="nb-NO"/>
        </w:rPr>
      </w:pPr>
    </w:p>
    <w:p w14:paraId="4C3CCF2D" w14:textId="77777777" w:rsidR="00814CB1" w:rsidRPr="00926995" w:rsidRDefault="00814CB1" w:rsidP="00B37086">
      <w:pPr>
        <w:ind w:firstLine="567"/>
        <w:rPr>
          <w:lang w:val="nb-NO"/>
        </w:rPr>
      </w:pPr>
    </w:p>
    <w:p w14:paraId="53E4C830" w14:textId="77777777" w:rsidR="00814CB1" w:rsidRPr="00926995" w:rsidRDefault="00814CB1" w:rsidP="00B37086">
      <w:pPr>
        <w:ind w:firstLine="567"/>
        <w:rPr>
          <w:lang w:val="nb-NO"/>
        </w:rPr>
      </w:pPr>
    </w:p>
    <w:p w14:paraId="0AE0C749" w14:textId="77777777" w:rsidR="001037B2" w:rsidRPr="00926995" w:rsidRDefault="001037B2" w:rsidP="00B37086">
      <w:pPr>
        <w:ind w:firstLine="567"/>
        <w:rPr>
          <w:lang w:val="nb-NO"/>
        </w:rPr>
      </w:pPr>
    </w:p>
    <w:sectPr w:rsidR="001037B2" w:rsidRPr="00926995" w:rsidSect="004F2B31">
      <w:headerReference w:type="default" r:id="rId7"/>
      <w:pgSz w:w="11907" w:h="16840" w:code="9"/>
      <w:pgMar w:top="1134" w:right="1134" w:bottom="1134" w:left="1701" w:header="709" w:footer="68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5EF9B3" w14:textId="77777777" w:rsidR="000E3D7E" w:rsidRDefault="000E3D7E">
      <w:r>
        <w:separator/>
      </w:r>
    </w:p>
  </w:endnote>
  <w:endnote w:type="continuationSeparator" w:id="0">
    <w:p w14:paraId="5ED4325B" w14:textId="77777777" w:rsidR="000E3D7E" w:rsidRDefault="000E3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H">
    <w:altName w:val="Courier New"/>
    <w:charset w:val="00"/>
    <w:family w:val="swiss"/>
    <w:pitch w:val="variable"/>
    <w:sig w:usb0="00000001" w:usb1="00000000" w:usb2="00000000" w:usb3="00000000" w:csb0="00000013" w:csb1="00000000"/>
  </w:font>
  <w:font w:name="MS Mincho">
    <w:altName w:val="Yu Gothic UI"/>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1B3D3C" w14:textId="77777777" w:rsidR="000E3D7E" w:rsidRDefault="000E3D7E">
      <w:r>
        <w:separator/>
      </w:r>
    </w:p>
  </w:footnote>
  <w:footnote w:type="continuationSeparator" w:id="0">
    <w:p w14:paraId="6B927D13" w14:textId="77777777" w:rsidR="000E3D7E" w:rsidRDefault="000E3D7E">
      <w:r>
        <w:continuationSeparator/>
      </w:r>
    </w:p>
  </w:footnote>
  <w:footnote w:id="1">
    <w:p w14:paraId="1B3C2BBA" w14:textId="77777777" w:rsidR="00B37086" w:rsidRDefault="00B37086" w:rsidP="00B37086">
      <w:pPr>
        <w:pStyle w:val="FootnoteText"/>
        <w:jc w:val="both"/>
        <w:rPr>
          <w:i/>
        </w:rPr>
      </w:pPr>
      <w:r>
        <w:rPr>
          <w:rStyle w:val="FootnoteReference"/>
        </w:rPr>
        <w:footnoteRef/>
      </w:r>
      <w:r>
        <w:t xml:space="preserve"> Điều 34</w:t>
      </w:r>
      <w:r>
        <w:rPr>
          <w:lang w:val="en-US"/>
        </w:rPr>
        <w:t xml:space="preserve"> Luật Tổ chức chính phủ năm 2015 quy định</w:t>
      </w:r>
      <w:r>
        <w:t xml:space="preserve">: </w:t>
      </w:r>
      <w:r w:rsidRPr="00BE1509">
        <w:t>Nhiệm vụ và quyền hạn của Bộ trưởng:</w:t>
      </w:r>
      <w:r>
        <w:rPr>
          <w:i/>
        </w:rPr>
        <w:t xml:space="preserve"> …</w:t>
      </w:r>
      <w:r w:rsidRPr="00BE1509">
        <w:rPr>
          <w:i/>
        </w:rPr>
        <w:t xml:space="preserve">Thực hiện việc tuyển dụng, bổ nhiệm, miễn nhiệm, cách chức, điều động, luân chuyển, đánh giá, quy hoạch, đào tạo, bồi dưỡng, khen thưởng, kỷ luật cán bộ, công chức, viên chức và thực hiện phân cấp quản lý công chức, viên chức </w:t>
      </w:r>
      <w:r w:rsidRPr="00BE1509">
        <w:rPr>
          <w:b/>
          <w:i/>
        </w:rPr>
        <w:t>đối với các tổ chức, đơn vị trực thuộc</w:t>
      </w:r>
      <w:r w:rsidRPr="00BE1509">
        <w:rPr>
          <w:i/>
        </w:rPr>
        <w:t xml:space="preserve"> theo quy định của pháp luật.</w:t>
      </w:r>
    </w:p>
    <w:p w14:paraId="6E6638F0" w14:textId="77777777" w:rsidR="00B37086" w:rsidRPr="00895A3A" w:rsidRDefault="00B37086" w:rsidP="00B37086">
      <w:pPr>
        <w:pStyle w:val="FootnoteText"/>
        <w:jc w:val="both"/>
        <w:rPr>
          <w:spacing w:val="-2"/>
        </w:rPr>
      </w:pPr>
      <w:r w:rsidRPr="00895A3A">
        <w:rPr>
          <w:spacing w:val="-2"/>
        </w:rPr>
        <w:t>Điều 24</w:t>
      </w:r>
      <w:r w:rsidRPr="00895A3A">
        <w:rPr>
          <w:spacing w:val="-2"/>
          <w:lang w:val="en-US"/>
        </w:rPr>
        <w:t xml:space="preserve"> Nghị định 123/2016/NĐ-CP, sửa đổi, bổ sung năm 2020 và năm 2024 quy định</w:t>
      </w:r>
      <w:r w:rsidRPr="00895A3A">
        <w:rPr>
          <w:spacing w:val="-2"/>
        </w:rPr>
        <w:t>: Nhiệm vụ và quyền hạn của Bộ trưởng:</w:t>
      </w:r>
      <w:r w:rsidRPr="00895A3A">
        <w:rPr>
          <w:i/>
          <w:spacing w:val="-2"/>
        </w:rPr>
        <w:t xml:space="preserve"> …Thực hiện việc tuyển dụng, bổ nhiệm, miễn nhiệm, cách chức, cho từ chức, đình chỉ công tác, điều động, luân chuyển, đánh giá, quy hoạch, đào tạo, bồi dưỡng, khen thưởng, kỷ luật công chức, viên chức và thực hiện phân cấp quản lý công chức, viên chức </w:t>
      </w:r>
      <w:r w:rsidRPr="00895A3A">
        <w:rPr>
          <w:b/>
          <w:i/>
          <w:spacing w:val="-2"/>
        </w:rPr>
        <w:t>đối với các tổ chức, đơn vị trực thuộc</w:t>
      </w:r>
      <w:r w:rsidRPr="00895A3A">
        <w:rPr>
          <w:i/>
          <w:spacing w:val="-2"/>
        </w:rPr>
        <w:t xml:space="preserve"> theo quy định của pháp luật.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F9780" w14:textId="015EFA6C" w:rsidR="00DE365C" w:rsidRDefault="00DE365C" w:rsidP="00EA0300">
    <w:pPr>
      <w:pStyle w:val="Header"/>
      <w:tabs>
        <w:tab w:val="center" w:pos="4536"/>
        <w:tab w:val="left" w:pos="5025"/>
      </w:tabs>
      <w:rPr>
        <w:noProof/>
        <w:sz w:val="26"/>
        <w:szCs w:val="26"/>
        <w:lang w:val="en-US"/>
      </w:rPr>
    </w:pPr>
    <w:r>
      <w:rPr>
        <w:sz w:val="26"/>
        <w:szCs w:val="26"/>
      </w:rPr>
      <w:tab/>
    </w:r>
    <w:r w:rsidRPr="00EA0300">
      <w:rPr>
        <w:sz w:val="26"/>
        <w:szCs w:val="26"/>
      </w:rPr>
      <w:fldChar w:fldCharType="begin"/>
    </w:r>
    <w:r w:rsidRPr="00EA0300">
      <w:rPr>
        <w:sz w:val="26"/>
        <w:szCs w:val="26"/>
      </w:rPr>
      <w:instrText xml:space="preserve"> PAGE   \* MERGEFORMAT </w:instrText>
    </w:r>
    <w:r w:rsidRPr="00EA0300">
      <w:rPr>
        <w:sz w:val="26"/>
        <w:szCs w:val="26"/>
      </w:rPr>
      <w:fldChar w:fldCharType="separate"/>
    </w:r>
    <w:r w:rsidR="00D60631">
      <w:rPr>
        <w:noProof/>
        <w:sz w:val="26"/>
        <w:szCs w:val="26"/>
      </w:rPr>
      <w:t>5</w:t>
    </w:r>
    <w:r w:rsidRPr="00EA0300">
      <w:rPr>
        <w:noProof/>
        <w:sz w:val="26"/>
        <w:szCs w:val="26"/>
      </w:rPr>
      <w:fldChar w:fldCharType="end"/>
    </w:r>
    <w:r>
      <w:rPr>
        <w:noProof/>
        <w:sz w:val="26"/>
        <w:szCs w:val="26"/>
      </w:rPr>
      <w:tab/>
    </w:r>
  </w:p>
  <w:p w14:paraId="05F2E676" w14:textId="77777777" w:rsidR="00DE365C" w:rsidRPr="00EA0300" w:rsidRDefault="00DE365C" w:rsidP="00EA0300">
    <w:pPr>
      <w:pStyle w:val="Header"/>
      <w:tabs>
        <w:tab w:val="center" w:pos="4536"/>
        <w:tab w:val="left" w:pos="5025"/>
      </w:tabs>
      <w:rPr>
        <w:sz w:val="14"/>
        <w:szCs w:val="26"/>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CB1"/>
    <w:rsid w:val="00014FBD"/>
    <w:rsid w:val="00031C53"/>
    <w:rsid w:val="00056E64"/>
    <w:rsid w:val="00064386"/>
    <w:rsid w:val="000661DD"/>
    <w:rsid w:val="00067C5A"/>
    <w:rsid w:val="00072921"/>
    <w:rsid w:val="000845C4"/>
    <w:rsid w:val="00092CA9"/>
    <w:rsid w:val="00096BDA"/>
    <w:rsid w:val="000A525A"/>
    <w:rsid w:val="000A7E8B"/>
    <w:rsid w:val="000D03C6"/>
    <w:rsid w:val="000D0E8F"/>
    <w:rsid w:val="000D0FFD"/>
    <w:rsid w:val="000D210F"/>
    <w:rsid w:val="000D6D88"/>
    <w:rsid w:val="000E14BF"/>
    <w:rsid w:val="000E3D7E"/>
    <w:rsid w:val="000F2972"/>
    <w:rsid w:val="001037B2"/>
    <w:rsid w:val="001247CB"/>
    <w:rsid w:val="00141218"/>
    <w:rsid w:val="00142CCB"/>
    <w:rsid w:val="00142F05"/>
    <w:rsid w:val="00145B85"/>
    <w:rsid w:val="00170F0C"/>
    <w:rsid w:val="00185C0D"/>
    <w:rsid w:val="00191B75"/>
    <w:rsid w:val="001C575B"/>
    <w:rsid w:val="001C5A13"/>
    <w:rsid w:val="001E61FC"/>
    <w:rsid w:val="001F3C65"/>
    <w:rsid w:val="00200562"/>
    <w:rsid w:val="00245F04"/>
    <w:rsid w:val="00247647"/>
    <w:rsid w:val="002561C3"/>
    <w:rsid w:val="0027659D"/>
    <w:rsid w:val="002874E7"/>
    <w:rsid w:val="00293077"/>
    <w:rsid w:val="002978F6"/>
    <w:rsid w:val="002A5615"/>
    <w:rsid w:val="002C102F"/>
    <w:rsid w:val="002E5F8F"/>
    <w:rsid w:val="003164E1"/>
    <w:rsid w:val="00323AF8"/>
    <w:rsid w:val="00330A73"/>
    <w:rsid w:val="0033120F"/>
    <w:rsid w:val="00337E0F"/>
    <w:rsid w:val="00374F69"/>
    <w:rsid w:val="003B5968"/>
    <w:rsid w:val="003B6DAC"/>
    <w:rsid w:val="003C36E8"/>
    <w:rsid w:val="003D729E"/>
    <w:rsid w:val="003F1290"/>
    <w:rsid w:val="004025E1"/>
    <w:rsid w:val="00403CBA"/>
    <w:rsid w:val="00407889"/>
    <w:rsid w:val="0045534C"/>
    <w:rsid w:val="004746DC"/>
    <w:rsid w:val="004812E0"/>
    <w:rsid w:val="004839BF"/>
    <w:rsid w:val="00494D4B"/>
    <w:rsid w:val="004D1E5B"/>
    <w:rsid w:val="004F2B31"/>
    <w:rsid w:val="00500C12"/>
    <w:rsid w:val="00563044"/>
    <w:rsid w:val="0057077B"/>
    <w:rsid w:val="00574705"/>
    <w:rsid w:val="005B52ED"/>
    <w:rsid w:val="005C3EB5"/>
    <w:rsid w:val="005C7AE7"/>
    <w:rsid w:val="005E7F9A"/>
    <w:rsid w:val="00604D8D"/>
    <w:rsid w:val="00644D1B"/>
    <w:rsid w:val="0066480C"/>
    <w:rsid w:val="00671DFD"/>
    <w:rsid w:val="00685CBE"/>
    <w:rsid w:val="006A6397"/>
    <w:rsid w:val="006D69AA"/>
    <w:rsid w:val="00704075"/>
    <w:rsid w:val="0073180E"/>
    <w:rsid w:val="007A4767"/>
    <w:rsid w:val="007A6B5E"/>
    <w:rsid w:val="007B63FB"/>
    <w:rsid w:val="007C268F"/>
    <w:rsid w:val="007E3ABD"/>
    <w:rsid w:val="007F3411"/>
    <w:rsid w:val="0080326A"/>
    <w:rsid w:val="008069A8"/>
    <w:rsid w:val="00806D64"/>
    <w:rsid w:val="00813614"/>
    <w:rsid w:val="00814CB1"/>
    <w:rsid w:val="00815C6D"/>
    <w:rsid w:val="00825994"/>
    <w:rsid w:val="008563AC"/>
    <w:rsid w:val="00857D6E"/>
    <w:rsid w:val="00876F4C"/>
    <w:rsid w:val="008852CC"/>
    <w:rsid w:val="00890BF2"/>
    <w:rsid w:val="008B01C4"/>
    <w:rsid w:val="008D6377"/>
    <w:rsid w:val="008F4F1E"/>
    <w:rsid w:val="00900498"/>
    <w:rsid w:val="00926995"/>
    <w:rsid w:val="009817A6"/>
    <w:rsid w:val="00982368"/>
    <w:rsid w:val="009D11A0"/>
    <w:rsid w:val="009E4947"/>
    <w:rsid w:val="009F51EC"/>
    <w:rsid w:val="00A364A2"/>
    <w:rsid w:val="00A40EB8"/>
    <w:rsid w:val="00A421D2"/>
    <w:rsid w:val="00A67135"/>
    <w:rsid w:val="00A72223"/>
    <w:rsid w:val="00AB39A4"/>
    <w:rsid w:val="00AC1F87"/>
    <w:rsid w:val="00AD43B4"/>
    <w:rsid w:val="00AF2A36"/>
    <w:rsid w:val="00B026F6"/>
    <w:rsid w:val="00B37086"/>
    <w:rsid w:val="00B5107E"/>
    <w:rsid w:val="00B52809"/>
    <w:rsid w:val="00B66374"/>
    <w:rsid w:val="00B71866"/>
    <w:rsid w:val="00B870E8"/>
    <w:rsid w:val="00BA0DEB"/>
    <w:rsid w:val="00BA199B"/>
    <w:rsid w:val="00BC02D3"/>
    <w:rsid w:val="00BD1E5F"/>
    <w:rsid w:val="00BD72A5"/>
    <w:rsid w:val="00C16C99"/>
    <w:rsid w:val="00C24B21"/>
    <w:rsid w:val="00C27517"/>
    <w:rsid w:val="00C42348"/>
    <w:rsid w:val="00C564D2"/>
    <w:rsid w:val="00C70461"/>
    <w:rsid w:val="00C85D83"/>
    <w:rsid w:val="00CB500A"/>
    <w:rsid w:val="00CD0C57"/>
    <w:rsid w:val="00CE524B"/>
    <w:rsid w:val="00CF3CEA"/>
    <w:rsid w:val="00D1625C"/>
    <w:rsid w:val="00D33C9C"/>
    <w:rsid w:val="00D377C7"/>
    <w:rsid w:val="00D543E9"/>
    <w:rsid w:val="00D55050"/>
    <w:rsid w:val="00D60631"/>
    <w:rsid w:val="00D765DD"/>
    <w:rsid w:val="00D95895"/>
    <w:rsid w:val="00DC149C"/>
    <w:rsid w:val="00DC4824"/>
    <w:rsid w:val="00DD58E1"/>
    <w:rsid w:val="00DD7F84"/>
    <w:rsid w:val="00DE1579"/>
    <w:rsid w:val="00DE365C"/>
    <w:rsid w:val="00DE39AE"/>
    <w:rsid w:val="00DE6802"/>
    <w:rsid w:val="00E12DFF"/>
    <w:rsid w:val="00E27F30"/>
    <w:rsid w:val="00E40DFA"/>
    <w:rsid w:val="00E46772"/>
    <w:rsid w:val="00E62DFC"/>
    <w:rsid w:val="00E74E38"/>
    <w:rsid w:val="00E830D1"/>
    <w:rsid w:val="00E9113F"/>
    <w:rsid w:val="00EA0300"/>
    <w:rsid w:val="00EA666B"/>
    <w:rsid w:val="00ED2B50"/>
    <w:rsid w:val="00ED602A"/>
    <w:rsid w:val="00ED6861"/>
    <w:rsid w:val="00F036C8"/>
    <w:rsid w:val="00F1334F"/>
    <w:rsid w:val="00F1397E"/>
    <w:rsid w:val="00F26EE3"/>
    <w:rsid w:val="00F36D51"/>
    <w:rsid w:val="00F44A7D"/>
    <w:rsid w:val="00FA2834"/>
    <w:rsid w:val="00FB301D"/>
    <w:rsid w:val="00FB515F"/>
    <w:rsid w:val="00FB51E6"/>
    <w:rsid w:val="00FC08BA"/>
    <w:rsid w:val="00FC0AF7"/>
    <w:rsid w:val="00FC5A31"/>
    <w:rsid w:val="00FF3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65ED20"/>
  <w15:docId w15:val="{DD60A300-70C0-4F08-9FF6-0089D7867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4CB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814CB1"/>
    <w:pPr>
      <w:keepNext/>
      <w:outlineLvl w:val="0"/>
    </w:pPr>
    <w:rPr>
      <w:rFonts w:ascii=".VnTimeH" w:hAnsi=".VnTimeH"/>
      <w:b/>
      <w:bCs/>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4CB1"/>
    <w:rPr>
      <w:rFonts w:ascii=".VnTimeH" w:eastAsia="Times New Roman" w:hAnsi=".VnTimeH" w:cs="Times New Roman"/>
      <w:b/>
      <w:bCs/>
      <w:sz w:val="28"/>
      <w:szCs w:val="20"/>
      <w:lang w:val="x-none" w:eastAsia="x-none"/>
    </w:rPr>
  </w:style>
  <w:style w:type="paragraph" w:styleId="Header">
    <w:name w:val="header"/>
    <w:basedOn w:val="Normal"/>
    <w:link w:val="HeaderChar"/>
    <w:uiPriority w:val="99"/>
    <w:unhideWhenUsed/>
    <w:rsid w:val="00814CB1"/>
    <w:pPr>
      <w:tabs>
        <w:tab w:val="center" w:pos="4680"/>
        <w:tab w:val="right" w:pos="9360"/>
      </w:tabs>
    </w:pPr>
    <w:rPr>
      <w:lang w:val="x-none" w:eastAsia="x-none"/>
    </w:rPr>
  </w:style>
  <w:style w:type="character" w:customStyle="1" w:styleId="HeaderChar">
    <w:name w:val="Header Char"/>
    <w:basedOn w:val="DefaultParagraphFont"/>
    <w:link w:val="Header"/>
    <w:uiPriority w:val="99"/>
    <w:rsid w:val="00814CB1"/>
    <w:rPr>
      <w:rFonts w:ascii="Times New Roman" w:eastAsia="Times New Roman" w:hAnsi="Times New Roman" w:cs="Times New Roman"/>
      <w:sz w:val="28"/>
      <w:szCs w:val="28"/>
      <w:lang w:val="x-none" w:eastAsia="x-none"/>
    </w:rPr>
  </w:style>
  <w:style w:type="paragraph" w:styleId="ListParagraph">
    <w:name w:val="List Paragraph"/>
    <w:basedOn w:val="Normal"/>
    <w:uiPriority w:val="34"/>
    <w:qFormat/>
    <w:rsid w:val="006A6397"/>
    <w:pPr>
      <w:ind w:left="720"/>
      <w:contextualSpacing/>
    </w:p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single space,f,fn"/>
    <w:basedOn w:val="Normal"/>
    <w:link w:val="FootnoteTextChar"/>
    <w:unhideWhenUsed/>
    <w:qFormat/>
    <w:rsid w:val="00685CBE"/>
    <w:rPr>
      <w:sz w:val="20"/>
      <w:szCs w:val="20"/>
      <w:lang w:val="x-none" w:eastAsia="x-none"/>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single space Char,f Char,Geneva 9 Char"/>
    <w:basedOn w:val="DefaultParagraphFont"/>
    <w:link w:val="FootnoteText"/>
    <w:rsid w:val="00685CBE"/>
    <w:rPr>
      <w:rFonts w:ascii="Times New Roman" w:eastAsia="Times New Roman" w:hAnsi="Times New Roman" w:cs="Times New Roman"/>
      <w:sz w:val="20"/>
      <w:szCs w:val="20"/>
      <w:lang w:val="x-none" w:eastAsia="x-none"/>
    </w:rPr>
  </w:style>
  <w:style w:type="paragraph" w:customStyle="1" w:styleId="intromoj">
    <w:name w:val="intro_moj"/>
    <w:basedOn w:val="Normal"/>
    <w:rsid w:val="00685CBE"/>
    <w:pPr>
      <w:spacing w:before="100" w:beforeAutospacing="1" w:after="100" w:afterAutospacing="1"/>
    </w:pPr>
    <w:rPr>
      <w:rFonts w:eastAsia="MS Mincho"/>
      <w:sz w:val="24"/>
      <w:szCs w:val="24"/>
    </w:rPr>
  </w:style>
  <w:style w:type="paragraph" w:styleId="BalloonText">
    <w:name w:val="Balloon Text"/>
    <w:basedOn w:val="Normal"/>
    <w:link w:val="BalloonTextChar"/>
    <w:uiPriority w:val="99"/>
    <w:semiHidden/>
    <w:unhideWhenUsed/>
    <w:rsid w:val="00E74E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4E38"/>
    <w:rPr>
      <w:rFonts w:ascii="Segoe UI" w:eastAsia="Times New Roman" w:hAnsi="Segoe UI" w:cs="Segoe UI"/>
      <w:sz w:val="18"/>
      <w:szCs w:val="18"/>
    </w:rPr>
  </w:style>
  <w:style w:type="table" w:styleId="TableGrid">
    <w:name w:val="Table Grid"/>
    <w:basedOn w:val="TableNormal"/>
    <w:uiPriority w:val="39"/>
    <w:rsid w:val="00926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93077"/>
    <w:pPr>
      <w:tabs>
        <w:tab w:val="center" w:pos="4680"/>
        <w:tab w:val="right" w:pos="9360"/>
      </w:tabs>
    </w:pPr>
  </w:style>
  <w:style w:type="character" w:customStyle="1" w:styleId="FooterChar">
    <w:name w:val="Footer Char"/>
    <w:basedOn w:val="DefaultParagraphFont"/>
    <w:link w:val="Footer"/>
    <w:uiPriority w:val="99"/>
    <w:rsid w:val="00293077"/>
    <w:rPr>
      <w:rFonts w:ascii="Times New Roman" w:eastAsia="Times New Roman" w:hAnsi="Times New Roman" w:cs="Times New Roman"/>
      <w:sz w:val="28"/>
      <w:szCs w:val="28"/>
    </w:rPr>
  </w:style>
  <w:style w:type="character" w:styleId="FootnoteReference">
    <w:name w:val="footnote reference"/>
    <w:aliases w:val="Footnote,Footnote text,ftref,Ref,de nota al pie,Footnote text + 13 pt,Footnote Text1,BearingPoint,16 Point,Superscript 6 Point,fr,Footnote Text Char Char Char Char Char Char Ch Char Char Char Char Char Char C,Footnote + Arial,10 pt,4_"/>
    <w:unhideWhenUsed/>
    <w:qFormat/>
    <w:rsid w:val="00F44A7D"/>
    <w:rPr>
      <w:vertAlign w:val="superscript"/>
    </w:rPr>
  </w:style>
  <w:style w:type="character" w:customStyle="1" w:styleId="normal-h1">
    <w:name w:val="normal-h1"/>
    <w:rsid w:val="004D1E5B"/>
    <w:rPr>
      <w:rFonts w:ascii="Times New Roman" w:hAnsi="Times New Roman" w:cs="Times New Roman"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5BA7C9-DB24-4D0A-85E2-59EF0E049A98}">
  <ds:schemaRefs>
    <ds:schemaRef ds:uri="http://schemas.openxmlformats.org/officeDocument/2006/bibliography"/>
  </ds:schemaRefs>
</ds:datastoreItem>
</file>

<file path=customXml/itemProps2.xml><?xml version="1.0" encoding="utf-8"?>
<ds:datastoreItem xmlns:ds="http://schemas.openxmlformats.org/officeDocument/2006/customXml" ds:itemID="{2FC8A7CA-E41F-4EA7-9033-92A2B5537AFB}"/>
</file>

<file path=customXml/itemProps3.xml><?xml version="1.0" encoding="utf-8"?>
<ds:datastoreItem xmlns:ds="http://schemas.openxmlformats.org/officeDocument/2006/customXml" ds:itemID="{10108D18-C04F-45E5-B343-0AAC8AFB4B5E}"/>
</file>

<file path=customXml/itemProps4.xml><?xml version="1.0" encoding="utf-8"?>
<ds:datastoreItem xmlns:ds="http://schemas.openxmlformats.org/officeDocument/2006/customXml" ds:itemID="{AFF6C403-38DF-404F-809F-394128135167}"/>
</file>

<file path=docProps/app.xml><?xml version="1.0" encoding="utf-8"?>
<Properties xmlns="http://schemas.openxmlformats.org/officeDocument/2006/extended-properties" xmlns:vt="http://schemas.openxmlformats.org/officeDocument/2006/docPropsVTypes">
  <Template>Normal</Template>
  <TotalTime>51</TotalTime>
  <Pages>6</Pages>
  <Words>1866</Words>
  <Characters>10637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ThangVPTC</dc:creator>
  <cp:lastModifiedBy>SingPC</cp:lastModifiedBy>
  <cp:revision>32</cp:revision>
  <cp:lastPrinted>2025-10-24T07:32:00Z</cp:lastPrinted>
  <dcterms:created xsi:type="dcterms:W3CDTF">2025-10-24T07:35:00Z</dcterms:created>
  <dcterms:modified xsi:type="dcterms:W3CDTF">2025-10-24T08:28:00Z</dcterms:modified>
</cp:coreProperties>
</file>